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CF87C" w14:textId="77777777" w:rsidR="00CA2EE3" w:rsidRPr="00CA2EE3" w:rsidRDefault="00A8748C" w:rsidP="00CA2EE3">
      <w:pPr>
        <w:spacing w:after="0" w:line="240" w:lineRule="auto"/>
        <w:jc w:val="center"/>
        <w:rPr>
          <w:b/>
          <w:smallCaps/>
          <w:sz w:val="28"/>
          <w:szCs w:val="28"/>
        </w:rPr>
      </w:pPr>
      <w:r>
        <w:rPr>
          <w:b/>
          <w:smallCaps/>
          <w:sz w:val="28"/>
          <w:szCs w:val="28"/>
        </w:rPr>
        <w:t xml:space="preserve">Batteries, </w:t>
      </w:r>
      <w:r w:rsidR="00CA2EE3" w:rsidRPr="00CA2EE3">
        <w:rPr>
          <w:b/>
          <w:smallCaps/>
          <w:sz w:val="28"/>
          <w:szCs w:val="28"/>
        </w:rPr>
        <w:t>Declaration of Compliance</w:t>
      </w:r>
    </w:p>
    <w:p w14:paraId="284574D4" w14:textId="77777777" w:rsidR="00CA2EE3" w:rsidRDefault="00CA2EE3" w:rsidP="007D4A9B">
      <w:pPr>
        <w:spacing w:after="0" w:line="240" w:lineRule="auto"/>
      </w:pPr>
    </w:p>
    <w:tbl>
      <w:tblPr>
        <w:tblStyle w:val="TableGrid"/>
        <w:tblW w:w="0" w:type="auto"/>
        <w:tblLook w:val="04A0" w:firstRow="1" w:lastRow="0" w:firstColumn="1" w:lastColumn="0" w:noHBand="0" w:noVBand="1"/>
      </w:tblPr>
      <w:tblGrid>
        <w:gridCol w:w="2069"/>
        <w:gridCol w:w="2991"/>
        <w:gridCol w:w="5730"/>
      </w:tblGrid>
      <w:tr w:rsidR="001D6800" w14:paraId="272BB52B" w14:textId="77777777" w:rsidTr="005E16B9">
        <w:trPr>
          <w:trHeight w:val="467"/>
        </w:trPr>
        <w:tc>
          <w:tcPr>
            <w:tcW w:w="2088" w:type="dxa"/>
            <w:tcBorders>
              <w:bottom w:val="single" w:sz="4" w:space="0" w:color="000000" w:themeColor="text1"/>
            </w:tcBorders>
            <w:vAlign w:val="center"/>
          </w:tcPr>
          <w:p w14:paraId="0B9FC34F" w14:textId="77777777" w:rsidR="001D6800" w:rsidRDefault="001D6800" w:rsidP="00BB3E0C">
            <w:pPr>
              <w:jc w:val="right"/>
            </w:pPr>
            <w:r>
              <w:t>COMPANY:</w:t>
            </w:r>
          </w:p>
        </w:tc>
        <w:tc>
          <w:tcPr>
            <w:tcW w:w="8928" w:type="dxa"/>
            <w:gridSpan w:val="2"/>
            <w:tcBorders>
              <w:bottom w:val="single" w:sz="4" w:space="0" w:color="000000" w:themeColor="text1"/>
            </w:tcBorders>
            <w:vAlign w:val="center"/>
          </w:tcPr>
          <w:p w14:paraId="0B145C75" w14:textId="2BF8D5A6" w:rsidR="001D6800" w:rsidRDefault="001D6800" w:rsidP="00597E65"/>
        </w:tc>
      </w:tr>
      <w:tr w:rsidR="00597E65" w14:paraId="319BBF31" w14:textId="77777777" w:rsidTr="00BB3E0C">
        <w:tc>
          <w:tcPr>
            <w:tcW w:w="2088" w:type="dxa"/>
            <w:tcBorders>
              <w:left w:val="nil"/>
              <w:right w:val="nil"/>
            </w:tcBorders>
          </w:tcPr>
          <w:p w14:paraId="52D20318" w14:textId="77777777" w:rsidR="00597E65" w:rsidRDefault="00597E65" w:rsidP="00BB3E0C">
            <w:pPr>
              <w:jc w:val="right"/>
            </w:pPr>
          </w:p>
        </w:tc>
        <w:tc>
          <w:tcPr>
            <w:tcW w:w="8928" w:type="dxa"/>
            <w:gridSpan w:val="2"/>
            <w:tcBorders>
              <w:left w:val="nil"/>
              <w:right w:val="nil"/>
            </w:tcBorders>
          </w:tcPr>
          <w:p w14:paraId="5DCD8CB4" w14:textId="77777777" w:rsidR="00597E65" w:rsidRDefault="00597E65" w:rsidP="007D4A9B"/>
        </w:tc>
      </w:tr>
      <w:tr w:rsidR="00BB3E0C" w14:paraId="54A24C76" w14:textId="77777777" w:rsidTr="00F52B42">
        <w:trPr>
          <w:trHeight w:val="350"/>
        </w:trPr>
        <w:tc>
          <w:tcPr>
            <w:tcW w:w="2088" w:type="dxa"/>
            <w:vAlign w:val="bottom"/>
          </w:tcPr>
          <w:p w14:paraId="3F02808F" w14:textId="77777777" w:rsidR="00BB3E0C" w:rsidRDefault="00BB3E0C" w:rsidP="00F52B42">
            <w:r>
              <w:t>RE</w:t>
            </w:r>
            <w:r w:rsidR="00E40FB2">
              <w:t xml:space="preserve"> Model</w:t>
            </w:r>
            <w:r>
              <w:t>:</w:t>
            </w:r>
          </w:p>
        </w:tc>
        <w:tc>
          <w:tcPr>
            <w:tcW w:w="3060" w:type="dxa"/>
            <w:tcBorders>
              <w:right w:val="nil"/>
            </w:tcBorders>
            <w:vAlign w:val="bottom"/>
          </w:tcPr>
          <w:p w14:paraId="5E0ACBE8" w14:textId="77777777" w:rsidR="00BB3E0C" w:rsidRDefault="00BB3E0C" w:rsidP="00F52B42">
            <w:pPr>
              <w:spacing w:before="40" w:after="40"/>
            </w:pPr>
          </w:p>
        </w:tc>
        <w:tc>
          <w:tcPr>
            <w:tcW w:w="5868" w:type="dxa"/>
            <w:tcBorders>
              <w:left w:val="nil"/>
            </w:tcBorders>
            <w:vAlign w:val="bottom"/>
          </w:tcPr>
          <w:p w14:paraId="5F3D7AF1" w14:textId="77777777" w:rsidR="00BB3E0C" w:rsidRDefault="00BB3E0C" w:rsidP="00F52B42">
            <w:pPr>
              <w:spacing w:before="40" w:after="40"/>
            </w:pPr>
          </w:p>
        </w:tc>
      </w:tr>
      <w:tr w:rsidR="00E40FB2" w14:paraId="7B53A303" w14:textId="77777777" w:rsidTr="00F52B42">
        <w:trPr>
          <w:trHeight w:val="350"/>
        </w:trPr>
        <w:tc>
          <w:tcPr>
            <w:tcW w:w="2088" w:type="dxa"/>
            <w:vAlign w:val="bottom"/>
          </w:tcPr>
          <w:p w14:paraId="715C2DB2" w14:textId="77777777" w:rsidR="00E40FB2" w:rsidRDefault="00E40FB2" w:rsidP="00F52B42">
            <w:r>
              <w:t>Platform:</w:t>
            </w:r>
          </w:p>
        </w:tc>
        <w:tc>
          <w:tcPr>
            <w:tcW w:w="8928" w:type="dxa"/>
            <w:gridSpan w:val="2"/>
            <w:vAlign w:val="bottom"/>
          </w:tcPr>
          <w:p w14:paraId="7851F5E7" w14:textId="77777777" w:rsidR="00E40FB2" w:rsidRDefault="00E40FB2" w:rsidP="00F52B42"/>
        </w:tc>
      </w:tr>
      <w:tr w:rsidR="00597E65" w14:paraId="47762383" w14:textId="77777777" w:rsidTr="00F52B42">
        <w:trPr>
          <w:trHeight w:val="350"/>
        </w:trPr>
        <w:tc>
          <w:tcPr>
            <w:tcW w:w="2088" w:type="dxa"/>
            <w:vAlign w:val="bottom"/>
          </w:tcPr>
          <w:p w14:paraId="52A1B348" w14:textId="77777777" w:rsidR="00597E65" w:rsidRDefault="00597E65" w:rsidP="00F52B42">
            <w:r>
              <w:t>Product Description:</w:t>
            </w:r>
          </w:p>
        </w:tc>
        <w:tc>
          <w:tcPr>
            <w:tcW w:w="8928" w:type="dxa"/>
            <w:gridSpan w:val="2"/>
            <w:vAlign w:val="bottom"/>
          </w:tcPr>
          <w:p w14:paraId="2067C17A" w14:textId="77777777" w:rsidR="00597E65" w:rsidRDefault="00597E65" w:rsidP="00F52B42"/>
        </w:tc>
      </w:tr>
    </w:tbl>
    <w:p w14:paraId="1A3D294A" w14:textId="77777777" w:rsidR="00D7536F" w:rsidRDefault="00D7536F" w:rsidP="007D4A9B">
      <w:pPr>
        <w:spacing w:after="0" w:line="240" w:lineRule="auto"/>
      </w:pPr>
    </w:p>
    <w:p w14:paraId="3765C769" w14:textId="77777777" w:rsidR="001D6800" w:rsidRDefault="001D6800" w:rsidP="007D4A9B">
      <w:pPr>
        <w:spacing w:after="0" w:line="240" w:lineRule="auto"/>
      </w:pPr>
    </w:p>
    <w:p w14:paraId="569FE494" w14:textId="77777777" w:rsidR="005020C1" w:rsidRDefault="001D6800" w:rsidP="00053279">
      <w:pPr>
        <w:spacing w:after="120" w:line="240" w:lineRule="auto"/>
      </w:pPr>
      <w:r>
        <w:t>COMPANY</w:t>
      </w:r>
      <w:r w:rsidR="00567869">
        <w:t xml:space="preserve"> declares, for the following parts, that the subsequent regulations are applicable as stated herein:</w:t>
      </w:r>
    </w:p>
    <w:p w14:paraId="4F10EF03" w14:textId="77777777" w:rsidR="005020C1" w:rsidRPr="00E62463" w:rsidRDefault="00E62463" w:rsidP="007A3E66">
      <w:pPr>
        <w:spacing w:after="120" w:line="240" w:lineRule="auto"/>
        <w:rPr>
          <w:b/>
        </w:rPr>
      </w:pPr>
      <w:r w:rsidRPr="00E62463">
        <w:rPr>
          <w:b/>
        </w:rPr>
        <w:t xml:space="preserve">Product </w:t>
      </w:r>
      <w:r w:rsidR="00FE2450">
        <w:rPr>
          <w:b/>
        </w:rPr>
        <w:t>Information</w:t>
      </w:r>
      <w:r w:rsidRPr="00E62463">
        <w:rPr>
          <w:b/>
        </w:rPr>
        <w:t>:</w:t>
      </w:r>
    </w:p>
    <w:tbl>
      <w:tblPr>
        <w:tblStyle w:val="TableGrid"/>
        <w:tblW w:w="0" w:type="auto"/>
        <w:tblLayout w:type="fixed"/>
        <w:tblLook w:val="04A0" w:firstRow="1" w:lastRow="0" w:firstColumn="1" w:lastColumn="0" w:noHBand="0" w:noVBand="1"/>
      </w:tblPr>
      <w:tblGrid>
        <w:gridCol w:w="1188"/>
        <w:gridCol w:w="1440"/>
        <w:gridCol w:w="1260"/>
        <w:gridCol w:w="900"/>
        <w:gridCol w:w="990"/>
        <w:gridCol w:w="1260"/>
        <w:gridCol w:w="1260"/>
        <w:gridCol w:w="990"/>
        <w:gridCol w:w="900"/>
        <w:gridCol w:w="828"/>
      </w:tblGrid>
      <w:tr w:rsidR="00060FDB" w14:paraId="3D52C6B2" w14:textId="77777777" w:rsidTr="00242224">
        <w:trPr>
          <w:trHeight w:val="670"/>
        </w:trPr>
        <w:tc>
          <w:tcPr>
            <w:tcW w:w="1188" w:type="dxa"/>
            <w:tcBorders>
              <w:bottom w:val="single" w:sz="4" w:space="0" w:color="000000" w:themeColor="text1"/>
            </w:tcBorders>
            <w:shd w:val="clear" w:color="auto" w:fill="EEECE1" w:themeFill="background2"/>
            <w:vAlign w:val="bottom"/>
          </w:tcPr>
          <w:p w14:paraId="57AE197C" w14:textId="77777777" w:rsidR="009260D6" w:rsidRPr="00E62463" w:rsidRDefault="009260D6" w:rsidP="009260D6">
            <w:pPr>
              <w:jc w:val="center"/>
              <w:rPr>
                <w:b/>
                <w:sz w:val="18"/>
                <w:szCs w:val="18"/>
              </w:rPr>
            </w:pPr>
            <w:r>
              <w:rPr>
                <w:b/>
                <w:sz w:val="18"/>
                <w:szCs w:val="18"/>
              </w:rPr>
              <w:t>Part Number</w:t>
            </w:r>
          </w:p>
        </w:tc>
        <w:tc>
          <w:tcPr>
            <w:tcW w:w="1440" w:type="dxa"/>
            <w:tcBorders>
              <w:bottom w:val="single" w:sz="4" w:space="0" w:color="000000" w:themeColor="text1"/>
            </w:tcBorders>
            <w:shd w:val="clear" w:color="auto" w:fill="EEECE1" w:themeFill="background2"/>
            <w:vAlign w:val="bottom"/>
          </w:tcPr>
          <w:p w14:paraId="4D148A41" w14:textId="77777777" w:rsidR="009260D6" w:rsidRPr="00E62463" w:rsidRDefault="009260D6" w:rsidP="009260D6">
            <w:pPr>
              <w:jc w:val="center"/>
              <w:rPr>
                <w:b/>
                <w:sz w:val="18"/>
                <w:szCs w:val="18"/>
              </w:rPr>
            </w:pPr>
            <w:r w:rsidRPr="00E62463">
              <w:rPr>
                <w:b/>
                <w:sz w:val="18"/>
                <w:szCs w:val="18"/>
              </w:rPr>
              <w:t>Description</w:t>
            </w:r>
          </w:p>
        </w:tc>
        <w:tc>
          <w:tcPr>
            <w:tcW w:w="1260" w:type="dxa"/>
            <w:tcBorders>
              <w:bottom w:val="single" w:sz="4" w:space="0" w:color="000000" w:themeColor="text1"/>
            </w:tcBorders>
            <w:shd w:val="clear" w:color="auto" w:fill="EEECE1" w:themeFill="background2"/>
            <w:vAlign w:val="bottom"/>
          </w:tcPr>
          <w:p w14:paraId="2808C225" w14:textId="77777777" w:rsidR="009260D6" w:rsidRPr="00E62463" w:rsidRDefault="009260D6" w:rsidP="009260D6">
            <w:pPr>
              <w:jc w:val="center"/>
              <w:rPr>
                <w:b/>
                <w:sz w:val="18"/>
                <w:szCs w:val="18"/>
              </w:rPr>
            </w:pPr>
            <w:r w:rsidRPr="00E62463">
              <w:rPr>
                <w:b/>
                <w:sz w:val="18"/>
                <w:szCs w:val="18"/>
              </w:rPr>
              <w:t xml:space="preserve">Battery Type </w:t>
            </w:r>
            <w:r w:rsidRPr="00E62463">
              <w:rPr>
                <w:b/>
                <w:sz w:val="18"/>
                <w:szCs w:val="18"/>
              </w:rPr>
              <w:br/>
              <w:t>(Chemical system)</w:t>
            </w:r>
          </w:p>
        </w:tc>
        <w:tc>
          <w:tcPr>
            <w:tcW w:w="900" w:type="dxa"/>
            <w:tcBorders>
              <w:bottom w:val="single" w:sz="4" w:space="0" w:color="000000" w:themeColor="text1"/>
            </w:tcBorders>
            <w:shd w:val="clear" w:color="auto" w:fill="EEECE1" w:themeFill="background2"/>
            <w:vAlign w:val="bottom"/>
          </w:tcPr>
          <w:p w14:paraId="730CD9CF" w14:textId="77777777" w:rsidR="009260D6" w:rsidRPr="00E62463" w:rsidRDefault="009260D6" w:rsidP="009260D6">
            <w:pPr>
              <w:jc w:val="center"/>
              <w:rPr>
                <w:b/>
                <w:sz w:val="18"/>
                <w:szCs w:val="18"/>
              </w:rPr>
            </w:pPr>
            <w:r w:rsidRPr="00E62463">
              <w:rPr>
                <w:b/>
                <w:sz w:val="18"/>
                <w:szCs w:val="18"/>
              </w:rPr>
              <w:t>Nominal Voltage (V)</w:t>
            </w:r>
          </w:p>
        </w:tc>
        <w:tc>
          <w:tcPr>
            <w:tcW w:w="990" w:type="dxa"/>
            <w:tcBorders>
              <w:bottom w:val="single" w:sz="4" w:space="0" w:color="000000" w:themeColor="text1"/>
            </w:tcBorders>
            <w:shd w:val="clear" w:color="auto" w:fill="EEECE1" w:themeFill="background2"/>
            <w:vAlign w:val="bottom"/>
          </w:tcPr>
          <w:p w14:paraId="4F0CC845" w14:textId="77777777" w:rsidR="009260D6" w:rsidRPr="00E62463" w:rsidRDefault="009260D6" w:rsidP="004F643D">
            <w:pPr>
              <w:jc w:val="center"/>
              <w:rPr>
                <w:b/>
                <w:sz w:val="18"/>
                <w:szCs w:val="18"/>
              </w:rPr>
            </w:pPr>
            <w:r w:rsidRPr="00E62463">
              <w:rPr>
                <w:b/>
                <w:sz w:val="18"/>
                <w:szCs w:val="18"/>
              </w:rPr>
              <w:t>Nominal Capacity (</w:t>
            </w:r>
            <w:proofErr w:type="spellStart"/>
            <w:r w:rsidRPr="00E62463">
              <w:rPr>
                <w:b/>
                <w:sz w:val="18"/>
                <w:szCs w:val="18"/>
              </w:rPr>
              <w:t>mA</w:t>
            </w:r>
            <w:r w:rsidR="004F643D">
              <w:rPr>
                <w:b/>
                <w:sz w:val="18"/>
                <w:szCs w:val="18"/>
              </w:rPr>
              <w:t>h</w:t>
            </w:r>
            <w:proofErr w:type="spellEnd"/>
            <w:r w:rsidR="004F643D">
              <w:rPr>
                <w:b/>
                <w:sz w:val="18"/>
                <w:szCs w:val="18"/>
              </w:rPr>
              <w:t>)</w:t>
            </w:r>
          </w:p>
        </w:tc>
        <w:tc>
          <w:tcPr>
            <w:tcW w:w="1260" w:type="dxa"/>
            <w:tcBorders>
              <w:bottom w:val="single" w:sz="4" w:space="0" w:color="000000" w:themeColor="text1"/>
            </w:tcBorders>
            <w:shd w:val="clear" w:color="auto" w:fill="EEECE1" w:themeFill="background2"/>
            <w:tcMar>
              <w:left w:w="86" w:type="dxa"/>
              <w:right w:w="86" w:type="dxa"/>
            </w:tcMar>
            <w:vAlign w:val="bottom"/>
          </w:tcPr>
          <w:p w14:paraId="386BD276" w14:textId="77777777" w:rsidR="009260D6" w:rsidRPr="00E62463" w:rsidRDefault="009260D6" w:rsidP="009018B1">
            <w:pPr>
              <w:jc w:val="center"/>
              <w:rPr>
                <w:b/>
                <w:sz w:val="18"/>
                <w:szCs w:val="18"/>
              </w:rPr>
            </w:pPr>
            <w:r w:rsidRPr="00E62463">
              <w:rPr>
                <w:b/>
                <w:sz w:val="18"/>
                <w:szCs w:val="18"/>
              </w:rPr>
              <w:t>Continuous</w:t>
            </w:r>
            <w:r w:rsidR="009018B1">
              <w:rPr>
                <w:b/>
                <w:sz w:val="18"/>
                <w:szCs w:val="18"/>
              </w:rPr>
              <w:t xml:space="preserve"> </w:t>
            </w:r>
            <w:r w:rsidR="00060FDB">
              <w:rPr>
                <w:b/>
                <w:sz w:val="18"/>
                <w:szCs w:val="18"/>
              </w:rPr>
              <w:t>Standard Load</w:t>
            </w:r>
            <w:r w:rsidRPr="00E62463">
              <w:rPr>
                <w:b/>
                <w:sz w:val="18"/>
                <w:szCs w:val="18"/>
              </w:rPr>
              <w:br/>
              <w:t>(mA)</w:t>
            </w:r>
          </w:p>
        </w:tc>
        <w:tc>
          <w:tcPr>
            <w:tcW w:w="1260" w:type="dxa"/>
            <w:tcBorders>
              <w:bottom w:val="single" w:sz="4" w:space="0" w:color="000000" w:themeColor="text1"/>
            </w:tcBorders>
            <w:shd w:val="clear" w:color="auto" w:fill="EEECE1" w:themeFill="background2"/>
            <w:vAlign w:val="bottom"/>
          </w:tcPr>
          <w:p w14:paraId="1B75D914" w14:textId="77777777" w:rsidR="009260D6" w:rsidRPr="00E62463" w:rsidRDefault="009260D6" w:rsidP="009260D6">
            <w:pPr>
              <w:jc w:val="center"/>
              <w:rPr>
                <w:b/>
                <w:sz w:val="18"/>
                <w:szCs w:val="18"/>
              </w:rPr>
            </w:pPr>
            <w:r>
              <w:rPr>
                <w:b/>
                <w:sz w:val="18"/>
                <w:szCs w:val="18"/>
              </w:rPr>
              <w:t>Rechargeable</w:t>
            </w:r>
            <w:r w:rsidRPr="00E62463">
              <w:rPr>
                <w:b/>
                <w:sz w:val="18"/>
                <w:szCs w:val="18"/>
              </w:rPr>
              <w:t xml:space="preserve"> (Yes/No)</w:t>
            </w:r>
          </w:p>
        </w:tc>
        <w:tc>
          <w:tcPr>
            <w:tcW w:w="2718" w:type="dxa"/>
            <w:gridSpan w:val="3"/>
            <w:tcBorders>
              <w:bottom w:val="single" w:sz="4" w:space="0" w:color="000000" w:themeColor="text1"/>
            </w:tcBorders>
            <w:shd w:val="clear" w:color="auto" w:fill="EEECE1" w:themeFill="background2"/>
            <w:vAlign w:val="bottom"/>
          </w:tcPr>
          <w:p w14:paraId="13159070" w14:textId="77777777" w:rsidR="009260D6" w:rsidRPr="00E62463" w:rsidRDefault="009260D6" w:rsidP="009260D6">
            <w:pPr>
              <w:spacing w:after="60"/>
              <w:jc w:val="center"/>
              <w:rPr>
                <w:b/>
                <w:sz w:val="18"/>
                <w:szCs w:val="18"/>
              </w:rPr>
            </w:pPr>
            <w:r w:rsidRPr="00E62463">
              <w:rPr>
                <w:b/>
                <w:sz w:val="18"/>
                <w:szCs w:val="18"/>
              </w:rPr>
              <w:t>Dimensions (Max)</w:t>
            </w:r>
          </w:p>
        </w:tc>
      </w:tr>
      <w:tr w:rsidR="00242224" w14:paraId="0ADF4322" w14:textId="77777777" w:rsidTr="00242224">
        <w:trPr>
          <w:trHeight w:val="323"/>
        </w:trPr>
        <w:tc>
          <w:tcPr>
            <w:tcW w:w="1188" w:type="dxa"/>
            <w:shd w:val="thinDiagStripe" w:color="auto" w:fill="auto"/>
            <w:vAlign w:val="center"/>
          </w:tcPr>
          <w:p w14:paraId="2B9D625F" w14:textId="77777777" w:rsidR="00E62463" w:rsidRPr="00E62463" w:rsidRDefault="00E62463" w:rsidP="00E62463">
            <w:pPr>
              <w:spacing w:before="60" w:after="60"/>
              <w:jc w:val="center"/>
              <w:rPr>
                <w:sz w:val="18"/>
                <w:szCs w:val="18"/>
              </w:rPr>
            </w:pPr>
          </w:p>
        </w:tc>
        <w:tc>
          <w:tcPr>
            <w:tcW w:w="1440" w:type="dxa"/>
            <w:shd w:val="thinDiagStripe" w:color="auto" w:fill="auto"/>
            <w:vAlign w:val="center"/>
          </w:tcPr>
          <w:p w14:paraId="4FD3A9D5" w14:textId="77777777" w:rsidR="00E62463" w:rsidRPr="00E62463" w:rsidRDefault="00E62463" w:rsidP="00E62463">
            <w:pPr>
              <w:spacing w:before="60" w:after="60"/>
              <w:jc w:val="center"/>
              <w:rPr>
                <w:sz w:val="18"/>
                <w:szCs w:val="18"/>
              </w:rPr>
            </w:pPr>
          </w:p>
        </w:tc>
        <w:tc>
          <w:tcPr>
            <w:tcW w:w="1260" w:type="dxa"/>
            <w:shd w:val="thinDiagStripe" w:color="auto" w:fill="auto"/>
            <w:vAlign w:val="center"/>
          </w:tcPr>
          <w:p w14:paraId="0627299F" w14:textId="77777777" w:rsidR="00E62463" w:rsidRPr="00E62463" w:rsidRDefault="00E62463" w:rsidP="00E62463">
            <w:pPr>
              <w:spacing w:before="60" w:after="60"/>
              <w:jc w:val="center"/>
              <w:rPr>
                <w:sz w:val="18"/>
                <w:szCs w:val="18"/>
              </w:rPr>
            </w:pPr>
          </w:p>
        </w:tc>
        <w:tc>
          <w:tcPr>
            <w:tcW w:w="900" w:type="dxa"/>
            <w:shd w:val="thinDiagStripe" w:color="auto" w:fill="auto"/>
            <w:vAlign w:val="center"/>
          </w:tcPr>
          <w:p w14:paraId="2774790D" w14:textId="77777777" w:rsidR="00E62463" w:rsidRPr="00E62463" w:rsidRDefault="00E62463" w:rsidP="00E62463">
            <w:pPr>
              <w:spacing w:before="60" w:after="60"/>
              <w:jc w:val="center"/>
              <w:rPr>
                <w:sz w:val="18"/>
                <w:szCs w:val="18"/>
              </w:rPr>
            </w:pPr>
          </w:p>
        </w:tc>
        <w:tc>
          <w:tcPr>
            <w:tcW w:w="990" w:type="dxa"/>
            <w:shd w:val="thinDiagStripe" w:color="auto" w:fill="auto"/>
            <w:vAlign w:val="center"/>
          </w:tcPr>
          <w:p w14:paraId="3A54BBB8" w14:textId="77777777" w:rsidR="00E62463" w:rsidRPr="00E62463" w:rsidRDefault="00E62463" w:rsidP="00E62463">
            <w:pPr>
              <w:spacing w:before="60" w:after="60"/>
              <w:jc w:val="center"/>
              <w:rPr>
                <w:sz w:val="18"/>
                <w:szCs w:val="18"/>
              </w:rPr>
            </w:pPr>
          </w:p>
        </w:tc>
        <w:tc>
          <w:tcPr>
            <w:tcW w:w="1260" w:type="dxa"/>
            <w:shd w:val="thinDiagStripe" w:color="auto" w:fill="auto"/>
            <w:vAlign w:val="center"/>
          </w:tcPr>
          <w:p w14:paraId="5FB24D12" w14:textId="77777777" w:rsidR="00E62463" w:rsidRPr="00E62463" w:rsidRDefault="00E62463" w:rsidP="00E62463">
            <w:pPr>
              <w:spacing w:before="60" w:after="60"/>
              <w:jc w:val="center"/>
              <w:rPr>
                <w:sz w:val="18"/>
                <w:szCs w:val="18"/>
              </w:rPr>
            </w:pPr>
          </w:p>
        </w:tc>
        <w:tc>
          <w:tcPr>
            <w:tcW w:w="1260" w:type="dxa"/>
            <w:shd w:val="thinDiagStripe" w:color="auto" w:fill="auto"/>
            <w:vAlign w:val="center"/>
          </w:tcPr>
          <w:p w14:paraId="56439377" w14:textId="77777777" w:rsidR="008255E8" w:rsidRPr="00E62463" w:rsidRDefault="008255E8" w:rsidP="00FE2450">
            <w:pPr>
              <w:spacing w:before="60" w:after="60"/>
              <w:jc w:val="center"/>
              <w:rPr>
                <w:sz w:val="18"/>
                <w:szCs w:val="18"/>
              </w:rPr>
            </w:pPr>
          </w:p>
        </w:tc>
        <w:tc>
          <w:tcPr>
            <w:tcW w:w="990" w:type="dxa"/>
            <w:shd w:val="clear" w:color="auto" w:fill="BEE2CE"/>
            <w:vAlign w:val="center"/>
          </w:tcPr>
          <w:p w14:paraId="797D1398" w14:textId="77777777" w:rsidR="00E62463" w:rsidRPr="00E62463" w:rsidRDefault="009260D6" w:rsidP="009260D6">
            <w:pPr>
              <w:spacing w:before="40" w:after="40"/>
              <w:jc w:val="center"/>
              <w:rPr>
                <w:sz w:val="18"/>
                <w:szCs w:val="18"/>
              </w:rPr>
            </w:pPr>
            <w:r w:rsidRPr="00FE2450">
              <w:rPr>
                <w:sz w:val="18"/>
                <w:szCs w:val="18"/>
              </w:rPr>
              <w:t>Diameter (mm)</w:t>
            </w:r>
          </w:p>
        </w:tc>
        <w:tc>
          <w:tcPr>
            <w:tcW w:w="900" w:type="dxa"/>
            <w:shd w:val="clear" w:color="auto" w:fill="BEE2CE"/>
            <w:vAlign w:val="center"/>
          </w:tcPr>
          <w:p w14:paraId="4E65A67A" w14:textId="77777777" w:rsidR="00E62463" w:rsidRPr="00E62463" w:rsidRDefault="009260D6" w:rsidP="009260D6">
            <w:pPr>
              <w:spacing w:before="40" w:after="40"/>
              <w:jc w:val="center"/>
              <w:rPr>
                <w:sz w:val="18"/>
                <w:szCs w:val="18"/>
              </w:rPr>
            </w:pPr>
            <w:r w:rsidRPr="00FE2450">
              <w:rPr>
                <w:sz w:val="18"/>
                <w:szCs w:val="18"/>
              </w:rPr>
              <w:t>Height (mm)</w:t>
            </w:r>
          </w:p>
        </w:tc>
        <w:tc>
          <w:tcPr>
            <w:tcW w:w="828" w:type="dxa"/>
            <w:shd w:val="clear" w:color="auto" w:fill="BEE2CE"/>
            <w:vAlign w:val="center"/>
          </w:tcPr>
          <w:p w14:paraId="2CB084B1" w14:textId="77777777" w:rsidR="00E62463" w:rsidRPr="00E62463" w:rsidRDefault="009260D6" w:rsidP="009260D6">
            <w:pPr>
              <w:spacing w:before="40" w:after="40"/>
              <w:jc w:val="center"/>
              <w:rPr>
                <w:sz w:val="18"/>
                <w:szCs w:val="18"/>
              </w:rPr>
            </w:pPr>
            <w:r w:rsidRPr="00FE2450">
              <w:rPr>
                <w:sz w:val="18"/>
                <w:szCs w:val="18"/>
              </w:rPr>
              <w:t>Weight (g)</w:t>
            </w:r>
          </w:p>
        </w:tc>
      </w:tr>
      <w:tr w:rsidR="00FE2450" w14:paraId="6C41C418" w14:textId="77777777" w:rsidTr="00242224">
        <w:tc>
          <w:tcPr>
            <w:tcW w:w="1188" w:type="dxa"/>
            <w:vAlign w:val="center"/>
          </w:tcPr>
          <w:p w14:paraId="321F381C" w14:textId="6A933153" w:rsidR="00FE2450" w:rsidRPr="00E62463" w:rsidRDefault="00FE2450" w:rsidP="00E62463">
            <w:pPr>
              <w:spacing w:before="60" w:after="60"/>
              <w:jc w:val="center"/>
              <w:rPr>
                <w:sz w:val="18"/>
                <w:szCs w:val="18"/>
              </w:rPr>
            </w:pPr>
          </w:p>
        </w:tc>
        <w:tc>
          <w:tcPr>
            <w:tcW w:w="1440" w:type="dxa"/>
            <w:vAlign w:val="center"/>
          </w:tcPr>
          <w:p w14:paraId="72B84BF5" w14:textId="381A78A5" w:rsidR="00FE2450" w:rsidRPr="00E62463" w:rsidRDefault="00FE2450" w:rsidP="00242224">
            <w:pPr>
              <w:spacing w:before="60" w:after="60"/>
              <w:jc w:val="center"/>
              <w:rPr>
                <w:sz w:val="18"/>
                <w:szCs w:val="18"/>
              </w:rPr>
            </w:pPr>
          </w:p>
        </w:tc>
        <w:tc>
          <w:tcPr>
            <w:tcW w:w="1260" w:type="dxa"/>
            <w:vAlign w:val="center"/>
          </w:tcPr>
          <w:p w14:paraId="71638366" w14:textId="6D001B0B" w:rsidR="009E1DDB" w:rsidRPr="00E62463" w:rsidRDefault="009E1DDB" w:rsidP="00E62463">
            <w:pPr>
              <w:spacing w:before="60" w:after="60"/>
              <w:jc w:val="center"/>
              <w:rPr>
                <w:sz w:val="18"/>
                <w:szCs w:val="18"/>
              </w:rPr>
            </w:pPr>
          </w:p>
        </w:tc>
        <w:tc>
          <w:tcPr>
            <w:tcW w:w="900" w:type="dxa"/>
            <w:vAlign w:val="center"/>
          </w:tcPr>
          <w:p w14:paraId="11B4D672" w14:textId="3612096B" w:rsidR="00FE2450" w:rsidRPr="00E62463" w:rsidRDefault="00FE2450" w:rsidP="00E62463">
            <w:pPr>
              <w:spacing w:before="60" w:after="60"/>
              <w:jc w:val="center"/>
              <w:rPr>
                <w:sz w:val="18"/>
                <w:szCs w:val="18"/>
              </w:rPr>
            </w:pPr>
          </w:p>
        </w:tc>
        <w:tc>
          <w:tcPr>
            <w:tcW w:w="990" w:type="dxa"/>
            <w:vAlign w:val="center"/>
          </w:tcPr>
          <w:p w14:paraId="61938697" w14:textId="6548D4A1" w:rsidR="00FE2450" w:rsidRPr="00E62463" w:rsidRDefault="00FE2450" w:rsidP="00E62463">
            <w:pPr>
              <w:spacing w:before="60" w:after="60"/>
              <w:jc w:val="center"/>
              <w:rPr>
                <w:sz w:val="18"/>
                <w:szCs w:val="18"/>
              </w:rPr>
            </w:pPr>
          </w:p>
        </w:tc>
        <w:tc>
          <w:tcPr>
            <w:tcW w:w="1260" w:type="dxa"/>
            <w:vAlign w:val="center"/>
          </w:tcPr>
          <w:p w14:paraId="739F2B04" w14:textId="098C453C" w:rsidR="00FE2450" w:rsidRPr="00E62463" w:rsidRDefault="00FE2450" w:rsidP="00E62463">
            <w:pPr>
              <w:spacing w:before="60" w:after="60"/>
              <w:jc w:val="center"/>
              <w:rPr>
                <w:sz w:val="18"/>
                <w:szCs w:val="18"/>
              </w:rPr>
            </w:pPr>
          </w:p>
        </w:tc>
        <w:tc>
          <w:tcPr>
            <w:tcW w:w="1260" w:type="dxa"/>
            <w:vAlign w:val="center"/>
          </w:tcPr>
          <w:p w14:paraId="3C422254" w14:textId="2E8A452B" w:rsidR="00FE2450" w:rsidRPr="00E62463" w:rsidRDefault="00FE2450" w:rsidP="00FE2450">
            <w:pPr>
              <w:spacing w:before="60" w:after="60"/>
              <w:jc w:val="center"/>
              <w:rPr>
                <w:sz w:val="18"/>
                <w:szCs w:val="18"/>
              </w:rPr>
            </w:pPr>
          </w:p>
        </w:tc>
        <w:tc>
          <w:tcPr>
            <w:tcW w:w="990" w:type="dxa"/>
            <w:vAlign w:val="center"/>
          </w:tcPr>
          <w:p w14:paraId="502BBD51" w14:textId="61950FC1" w:rsidR="00FE2450" w:rsidRPr="00E62463" w:rsidRDefault="00FE2450" w:rsidP="00E62463">
            <w:pPr>
              <w:spacing w:before="60" w:after="60"/>
              <w:jc w:val="center"/>
              <w:rPr>
                <w:sz w:val="18"/>
                <w:szCs w:val="18"/>
              </w:rPr>
            </w:pPr>
          </w:p>
        </w:tc>
        <w:tc>
          <w:tcPr>
            <w:tcW w:w="900" w:type="dxa"/>
            <w:vAlign w:val="center"/>
          </w:tcPr>
          <w:p w14:paraId="390AAD3C" w14:textId="342098DC" w:rsidR="00FE2450" w:rsidRPr="00E62463" w:rsidRDefault="00FE2450" w:rsidP="00E62463">
            <w:pPr>
              <w:spacing w:before="60" w:after="60"/>
              <w:jc w:val="center"/>
              <w:rPr>
                <w:sz w:val="18"/>
                <w:szCs w:val="18"/>
              </w:rPr>
            </w:pPr>
          </w:p>
        </w:tc>
        <w:tc>
          <w:tcPr>
            <w:tcW w:w="828" w:type="dxa"/>
            <w:vAlign w:val="center"/>
          </w:tcPr>
          <w:p w14:paraId="69A4A458" w14:textId="04290139" w:rsidR="00FE2450" w:rsidRPr="00E62463" w:rsidRDefault="00FE2450" w:rsidP="00E62463">
            <w:pPr>
              <w:spacing w:before="60" w:after="60"/>
              <w:jc w:val="center"/>
              <w:rPr>
                <w:sz w:val="18"/>
                <w:szCs w:val="18"/>
              </w:rPr>
            </w:pPr>
          </w:p>
        </w:tc>
      </w:tr>
      <w:tr w:rsidR="005E16B9" w14:paraId="5CD4645A" w14:textId="77777777" w:rsidTr="00242224">
        <w:tc>
          <w:tcPr>
            <w:tcW w:w="1188" w:type="dxa"/>
            <w:vAlign w:val="center"/>
          </w:tcPr>
          <w:p w14:paraId="1850869C" w14:textId="77777777" w:rsidR="005E16B9" w:rsidRPr="00E62463" w:rsidRDefault="005E16B9" w:rsidP="00E62463">
            <w:pPr>
              <w:spacing w:before="60" w:after="60"/>
              <w:jc w:val="center"/>
              <w:rPr>
                <w:sz w:val="18"/>
                <w:szCs w:val="18"/>
              </w:rPr>
            </w:pPr>
          </w:p>
        </w:tc>
        <w:tc>
          <w:tcPr>
            <w:tcW w:w="1440" w:type="dxa"/>
            <w:vAlign w:val="center"/>
          </w:tcPr>
          <w:p w14:paraId="6448D481" w14:textId="77777777" w:rsidR="005E16B9" w:rsidRPr="00E62463" w:rsidRDefault="005E16B9" w:rsidP="00242224">
            <w:pPr>
              <w:spacing w:before="60" w:after="60"/>
              <w:jc w:val="center"/>
              <w:rPr>
                <w:sz w:val="18"/>
                <w:szCs w:val="18"/>
              </w:rPr>
            </w:pPr>
          </w:p>
        </w:tc>
        <w:tc>
          <w:tcPr>
            <w:tcW w:w="1260" w:type="dxa"/>
            <w:vAlign w:val="center"/>
          </w:tcPr>
          <w:p w14:paraId="590D3DCA" w14:textId="77777777" w:rsidR="005E16B9" w:rsidRPr="00E62463" w:rsidRDefault="005E16B9" w:rsidP="00E62463">
            <w:pPr>
              <w:spacing w:before="60" w:after="60"/>
              <w:jc w:val="center"/>
              <w:rPr>
                <w:sz w:val="18"/>
                <w:szCs w:val="18"/>
              </w:rPr>
            </w:pPr>
          </w:p>
        </w:tc>
        <w:tc>
          <w:tcPr>
            <w:tcW w:w="900" w:type="dxa"/>
            <w:vAlign w:val="center"/>
          </w:tcPr>
          <w:p w14:paraId="6C0861EB" w14:textId="77777777" w:rsidR="005E16B9" w:rsidRPr="00E62463" w:rsidRDefault="005E16B9" w:rsidP="00E62463">
            <w:pPr>
              <w:spacing w:before="60" w:after="60"/>
              <w:jc w:val="center"/>
              <w:rPr>
                <w:sz w:val="18"/>
                <w:szCs w:val="18"/>
              </w:rPr>
            </w:pPr>
          </w:p>
        </w:tc>
        <w:tc>
          <w:tcPr>
            <w:tcW w:w="990" w:type="dxa"/>
            <w:vAlign w:val="center"/>
          </w:tcPr>
          <w:p w14:paraId="18A17806" w14:textId="77777777" w:rsidR="005E16B9" w:rsidRPr="00E62463" w:rsidRDefault="005E16B9" w:rsidP="00E62463">
            <w:pPr>
              <w:spacing w:before="60" w:after="60"/>
              <w:jc w:val="center"/>
              <w:rPr>
                <w:sz w:val="18"/>
                <w:szCs w:val="18"/>
              </w:rPr>
            </w:pPr>
          </w:p>
        </w:tc>
        <w:tc>
          <w:tcPr>
            <w:tcW w:w="1260" w:type="dxa"/>
            <w:vAlign w:val="center"/>
          </w:tcPr>
          <w:p w14:paraId="05863734" w14:textId="77777777" w:rsidR="005E16B9" w:rsidRPr="00E62463" w:rsidRDefault="005E16B9" w:rsidP="00E62463">
            <w:pPr>
              <w:spacing w:before="60" w:after="60"/>
              <w:jc w:val="center"/>
              <w:rPr>
                <w:sz w:val="18"/>
                <w:szCs w:val="18"/>
              </w:rPr>
            </w:pPr>
          </w:p>
        </w:tc>
        <w:tc>
          <w:tcPr>
            <w:tcW w:w="1260" w:type="dxa"/>
            <w:vAlign w:val="center"/>
          </w:tcPr>
          <w:p w14:paraId="09008223" w14:textId="77777777" w:rsidR="005E16B9" w:rsidRPr="00E62463" w:rsidRDefault="005E16B9" w:rsidP="00FE2450">
            <w:pPr>
              <w:spacing w:before="60" w:after="60"/>
              <w:jc w:val="center"/>
              <w:rPr>
                <w:sz w:val="18"/>
                <w:szCs w:val="18"/>
              </w:rPr>
            </w:pPr>
          </w:p>
        </w:tc>
        <w:tc>
          <w:tcPr>
            <w:tcW w:w="990" w:type="dxa"/>
            <w:vAlign w:val="center"/>
          </w:tcPr>
          <w:p w14:paraId="738D2DB0" w14:textId="77777777" w:rsidR="005E16B9" w:rsidRPr="00E62463" w:rsidRDefault="005E16B9" w:rsidP="00E62463">
            <w:pPr>
              <w:spacing w:before="60" w:after="60"/>
              <w:jc w:val="center"/>
              <w:rPr>
                <w:sz w:val="18"/>
                <w:szCs w:val="18"/>
              </w:rPr>
            </w:pPr>
          </w:p>
        </w:tc>
        <w:tc>
          <w:tcPr>
            <w:tcW w:w="900" w:type="dxa"/>
            <w:vAlign w:val="center"/>
          </w:tcPr>
          <w:p w14:paraId="0A1EA2E4" w14:textId="77777777" w:rsidR="005E16B9" w:rsidRPr="00E62463" w:rsidRDefault="005E16B9" w:rsidP="00E62463">
            <w:pPr>
              <w:spacing w:before="60" w:after="60"/>
              <w:jc w:val="center"/>
              <w:rPr>
                <w:sz w:val="18"/>
                <w:szCs w:val="18"/>
              </w:rPr>
            </w:pPr>
          </w:p>
        </w:tc>
        <w:tc>
          <w:tcPr>
            <w:tcW w:w="828" w:type="dxa"/>
            <w:vAlign w:val="center"/>
          </w:tcPr>
          <w:p w14:paraId="545BB24F" w14:textId="77777777" w:rsidR="005E16B9" w:rsidRPr="00E62463" w:rsidRDefault="005E16B9" w:rsidP="00E62463">
            <w:pPr>
              <w:spacing w:before="60" w:after="60"/>
              <w:jc w:val="center"/>
              <w:rPr>
                <w:sz w:val="18"/>
                <w:szCs w:val="18"/>
              </w:rPr>
            </w:pPr>
          </w:p>
        </w:tc>
      </w:tr>
    </w:tbl>
    <w:p w14:paraId="320CBDC9" w14:textId="77777777" w:rsidR="00E62463" w:rsidRDefault="00E62463" w:rsidP="007D4A9B">
      <w:pPr>
        <w:spacing w:after="0" w:line="240" w:lineRule="auto"/>
      </w:pPr>
    </w:p>
    <w:p w14:paraId="2DD9A59B" w14:textId="77777777" w:rsidR="007A3E66" w:rsidRPr="007A3E66" w:rsidRDefault="007A3E66" w:rsidP="008B6722">
      <w:pPr>
        <w:spacing w:before="120" w:after="120" w:line="240" w:lineRule="auto"/>
        <w:rPr>
          <w:b/>
        </w:rPr>
      </w:pPr>
      <w:r w:rsidRPr="007A3E66">
        <w:rPr>
          <w:b/>
        </w:rPr>
        <w:t>Declaration:</w:t>
      </w:r>
    </w:p>
    <w:p w14:paraId="11B30021" w14:textId="77777777" w:rsidR="007D4A9B" w:rsidRDefault="007B3EDA" w:rsidP="001D6800">
      <w:pPr>
        <w:spacing w:after="120" w:line="240" w:lineRule="auto"/>
      </w:pPr>
      <w:r>
        <w:t xml:space="preserve">To the best of our knowledge, </w:t>
      </w:r>
      <w:r w:rsidR="001D6800">
        <w:t>COMPANY</w:t>
      </w:r>
      <w:r>
        <w:t xml:space="preserve"> is compliant </w:t>
      </w:r>
      <w:r w:rsidR="004845E2">
        <w:t>with</w:t>
      </w:r>
      <w:r>
        <w:t xml:space="preserve"> the following regulations</w:t>
      </w:r>
      <w:r w:rsidR="003767BC">
        <w:t xml:space="preserve"> with regards to the above-mentioned part(s)</w:t>
      </w:r>
      <w:r>
        <w:t>:</w:t>
      </w:r>
    </w:p>
    <w:tbl>
      <w:tblPr>
        <w:tblStyle w:val="TableGrid"/>
        <w:tblW w:w="11016" w:type="dxa"/>
        <w:tblLook w:val="04A0" w:firstRow="1" w:lastRow="0" w:firstColumn="1" w:lastColumn="0" w:noHBand="0" w:noVBand="1"/>
      </w:tblPr>
      <w:tblGrid>
        <w:gridCol w:w="1261"/>
        <w:gridCol w:w="1278"/>
        <w:gridCol w:w="2251"/>
        <w:gridCol w:w="6226"/>
      </w:tblGrid>
      <w:tr w:rsidR="001D6800" w:rsidRPr="00201B56" w14:paraId="6AF01E73" w14:textId="77777777" w:rsidTr="008B6722">
        <w:trPr>
          <w:cantSplit/>
          <w:tblHeader/>
        </w:trPr>
        <w:tc>
          <w:tcPr>
            <w:tcW w:w="1261" w:type="dxa"/>
            <w:shd w:val="clear" w:color="auto" w:fill="EEECE1" w:themeFill="background2"/>
          </w:tcPr>
          <w:p w14:paraId="1B18BD25" w14:textId="77777777" w:rsidR="001D6800" w:rsidRPr="00201B56" w:rsidRDefault="001D6800" w:rsidP="00DA1A20">
            <w:pPr>
              <w:jc w:val="center"/>
              <w:rPr>
                <w:b/>
              </w:rPr>
            </w:pPr>
            <w:r>
              <w:rPr>
                <w:b/>
              </w:rPr>
              <w:t>Compliant?</w:t>
            </w:r>
          </w:p>
        </w:tc>
        <w:tc>
          <w:tcPr>
            <w:tcW w:w="1278" w:type="dxa"/>
            <w:shd w:val="clear" w:color="auto" w:fill="EEECE1" w:themeFill="background2"/>
          </w:tcPr>
          <w:p w14:paraId="1F1CEF0A" w14:textId="77777777" w:rsidR="001D6800" w:rsidRPr="00201B56" w:rsidRDefault="001D6800" w:rsidP="00DA1A20">
            <w:pPr>
              <w:jc w:val="center"/>
              <w:rPr>
                <w:b/>
              </w:rPr>
            </w:pPr>
            <w:r w:rsidRPr="00201B56">
              <w:rPr>
                <w:b/>
              </w:rPr>
              <w:t>Region</w:t>
            </w:r>
          </w:p>
        </w:tc>
        <w:tc>
          <w:tcPr>
            <w:tcW w:w="2251" w:type="dxa"/>
            <w:shd w:val="clear" w:color="auto" w:fill="EEECE1" w:themeFill="background2"/>
          </w:tcPr>
          <w:p w14:paraId="340B07C2" w14:textId="77777777" w:rsidR="001D6800" w:rsidRPr="00201B56" w:rsidRDefault="001D6800" w:rsidP="00DA1A20">
            <w:pPr>
              <w:jc w:val="center"/>
              <w:rPr>
                <w:b/>
              </w:rPr>
            </w:pPr>
            <w:r w:rsidRPr="00201B56">
              <w:rPr>
                <w:b/>
              </w:rPr>
              <w:t>Regulation</w:t>
            </w:r>
          </w:p>
        </w:tc>
        <w:tc>
          <w:tcPr>
            <w:tcW w:w="6226" w:type="dxa"/>
            <w:shd w:val="clear" w:color="auto" w:fill="EEECE1" w:themeFill="background2"/>
          </w:tcPr>
          <w:p w14:paraId="26356F00" w14:textId="77777777" w:rsidR="001D6800" w:rsidRPr="00201B56" w:rsidRDefault="001D6800" w:rsidP="007D4A9B">
            <w:pPr>
              <w:rPr>
                <w:b/>
              </w:rPr>
            </w:pPr>
            <w:r w:rsidRPr="00201B56">
              <w:rPr>
                <w:b/>
              </w:rPr>
              <w:t>Description</w:t>
            </w:r>
          </w:p>
        </w:tc>
      </w:tr>
      <w:tr w:rsidR="001D6800" w14:paraId="09ABCE6C" w14:textId="77777777" w:rsidTr="00053279">
        <w:tc>
          <w:tcPr>
            <w:tcW w:w="1261" w:type="dxa"/>
            <w:tcMar>
              <w:top w:w="29" w:type="dxa"/>
              <w:left w:w="115" w:type="dxa"/>
              <w:bottom w:w="29" w:type="dxa"/>
              <w:right w:w="115" w:type="dxa"/>
            </w:tcMar>
            <w:vAlign w:val="center"/>
          </w:tcPr>
          <w:p w14:paraId="18CD1E9C" w14:textId="5AAC5A35" w:rsidR="001D6800" w:rsidRPr="00053279" w:rsidRDefault="009F3164" w:rsidP="001D6800">
            <w:pPr>
              <w:jc w:val="center"/>
              <w:rPr>
                <w:sz w:val="20"/>
                <w:szCs w:val="20"/>
              </w:rPr>
            </w:pPr>
            <w:r>
              <w:rPr>
                <w:sz w:val="20"/>
                <w:szCs w:val="20"/>
              </w:rPr>
              <w:fldChar w:fldCharType="begin">
                <w:ffData>
                  <w:name w:val="Check1"/>
                  <w:enabled/>
                  <w:calcOnExit w:val="0"/>
                  <w:checkBox>
                    <w:sizeAuto/>
                    <w:default w:val="0"/>
                  </w:checkBox>
                </w:ffData>
              </w:fldChar>
            </w:r>
            <w:bookmarkStart w:id="0" w:name="Check1"/>
            <w:r>
              <w:rPr>
                <w:sz w:val="20"/>
                <w:szCs w:val="20"/>
              </w:rPr>
              <w:instrText xml:space="preserve"> FORMCHECKBOX </w:instrText>
            </w:r>
            <w:r>
              <w:rPr>
                <w:sz w:val="20"/>
                <w:szCs w:val="20"/>
              </w:rPr>
            </w:r>
            <w:r>
              <w:rPr>
                <w:sz w:val="20"/>
                <w:szCs w:val="20"/>
              </w:rPr>
              <w:fldChar w:fldCharType="end"/>
            </w:r>
            <w:bookmarkEnd w:id="0"/>
          </w:p>
        </w:tc>
        <w:tc>
          <w:tcPr>
            <w:tcW w:w="1278" w:type="dxa"/>
            <w:tcMar>
              <w:top w:w="29" w:type="dxa"/>
              <w:left w:w="115" w:type="dxa"/>
              <w:bottom w:w="29" w:type="dxa"/>
              <w:right w:w="115" w:type="dxa"/>
            </w:tcMar>
            <w:vAlign w:val="center"/>
          </w:tcPr>
          <w:p w14:paraId="101C11D4" w14:textId="77777777" w:rsidR="001D6800" w:rsidRPr="00053279" w:rsidRDefault="001D6800" w:rsidP="001D6800">
            <w:pPr>
              <w:jc w:val="center"/>
              <w:rPr>
                <w:sz w:val="20"/>
                <w:szCs w:val="20"/>
              </w:rPr>
            </w:pPr>
            <w:r w:rsidRPr="00053279">
              <w:rPr>
                <w:sz w:val="20"/>
                <w:szCs w:val="20"/>
              </w:rPr>
              <w:t>EU</w:t>
            </w:r>
          </w:p>
        </w:tc>
        <w:tc>
          <w:tcPr>
            <w:tcW w:w="2251" w:type="dxa"/>
            <w:tcMar>
              <w:top w:w="29" w:type="dxa"/>
              <w:left w:w="115" w:type="dxa"/>
              <w:bottom w:w="29" w:type="dxa"/>
              <w:right w:w="115" w:type="dxa"/>
            </w:tcMar>
            <w:vAlign w:val="center"/>
          </w:tcPr>
          <w:p w14:paraId="1FE4AC9D" w14:textId="77777777" w:rsidR="001D6800" w:rsidRPr="00053279" w:rsidRDefault="001D6800" w:rsidP="001D6800">
            <w:pPr>
              <w:jc w:val="center"/>
              <w:rPr>
                <w:sz w:val="20"/>
                <w:szCs w:val="20"/>
              </w:rPr>
            </w:pPr>
            <w:r w:rsidRPr="00053279">
              <w:rPr>
                <w:sz w:val="20"/>
                <w:szCs w:val="20"/>
              </w:rPr>
              <w:t>2013/56/EU</w:t>
            </w:r>
          </w:p>
        </w:tc>
        <w:tc>
          <w:tcPr>
            <w:tcW w:w="6226" w:type="dxa"/>
            <w:tcMar>
              <w:top w:w="29" w:type="dxa"/>
              <w:left w:w="115" w:type="dxa"/>
              <w:bottom w:w="29" w:type="dxa"/>
              <w:right w:w="115" w:type="dxa"/>
            </w:tcMar>
          </w:tcPr>
          <w:p w14:paraId="22BEB829" w14:textId="77777777" w:rsidR="001D6800" w:rsidRPr="00053279" w:rsidRDefault="001D6800" w:rsidP="007D4A9B">
            <w:pPr>
              <w:rPr>
                <w:sz w:val="20"/>
                <w:szCs w:val="20"/>
              </w:rPr>
            </w:pPr>
            <w:r w:rsidRPr="00053279">
              <w:rPr>
                <w:sz w:val="20"/>
                <w:szCs w:val="20"/>
              </w:rPr>
              <w:t>on batteries and accumulators and waste batteries and accumulators as regards the placing on the market of portable batteries and accumulators containing cadmium intended for use in cordless power tools, and of button cells with low mercury content</w:t>
            </w:r>
          </w:p>
        </w:tc>
      </w:tr>
      <w:tr w:rsidR="001D6800" w14:paraId="3DC06F76" w14:textId="77777777" w:rsidTr="00053279">
        <w:tc>
          <w:tcPr>
            <w:tcW w:w="1261" w:type="dxa"/>
            <w:tcMar>
              <w:top w:w="29" w:type="dxa"/>
              <w:left w:w="115" w:type="dxa"/>
              <w:bottom w:w="29" w:type="dxa"/>
              <w:right w:w="115" w:type="dxa"/>
            </w:tcMar>
            <w:vAlign w:val="center"/>
          </w:tcPr>
          <w:p w14:paraId="1F1AAA54" w14:textId="7FDA8A2E"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5D05089E" w14:textId="77777777" w:rsidR="001D6800" w:rsidRPr="00053279" w:rsidRDefault="001D6800" w:rsidP="001D6800">
            <w:pPr>
              <w:jc w:val="center"/>
              <w:rPr>
                <w:sz w:val="20"/>
                <w:szCs w:val="20"/>
              </w:rPr>
            </w:pPr>
            <w:r w:rsidRPr="00053279">
              <w:rPr>
                <w:sz w:val="20"/>
                <w:szCs w:val="20"/>
              </w:rPr>
              <w:t>EU</w:t>
            </w:r>
          </w:p>
        </w:tc>
        <w:tc>
          <w:tcPr>
            <w:tcW w:w="2251" w:type="dxa"/>
            <w:tcMar>
              <w:top w:w="29" w:type="dxa"/>
              <w:left w:w="115" w:type="dxa"/>
              <w:bottom w:w="29" w:type="dxa"/>
              <w:right w:w="115" w:type="dxa"/>
            </w:tcMar>
            <w:vAlign w:val="center"/>
          </w:tcPr>
          <w:p w14:paraId="252886C4" w14:textId="77777777" w:rsidR="001D6800" w:rsidRPr="00053279" w:rsidRDefault="001D6800" w:rsidP="001D6800">
            <w:pPr>
              <w:jc w:val="center"/>
              <w:rPr>
                <w:sz w:val="20"/>
                <w:szCs w:val="20"/>
              </w:rPr>
            </w:pPr>
            <w:r w:rsidRPr="00053279">
              <w:rPr>
                <w:sz w:val="20"/>
                <w:szCs w:val="20"/>
              </w:rPr>
              <w:t>2009/251/CE</w:t>
            </w:r>
          </w:p>
        </w:tc>
        <w:tc>
          <w:tcPr>
            <w:tcW w:w="6226" w:type="dxa"/>
            <w:tcMar>
              <w:top w:w="29" w:type="dxa"/>
              <w:left w:w="115" w:type="dxa"/>
              <w:bottom w:w="29" w:type="dxa"/>
              <w:right w:w="115" w:type="dxa"/>
            </w:tcMar>
          </w:tcPr>
          <w:p w14:paraId="1EC6E03A" w14:textId="77777777" w:rsidR="001D6800" w:rsidRPr="00053279" w:rsidRDefault="001D6800" w:rsidP="00567869">
            <w:pPr>
              <w:rPr>
                <w:sz w:val="20"/>
                <w:szCs w:val="20"/>
              </w:rPr>
            </w:pPr>
            <w:r w:rsidRPr="00053279">
              <w:rPr>
                <w:sz w:val="20"/>
                <w:szCs w:val="20"/>
              </w:rPr>
              <w:t xml:space="preserve">to ensure that products containing the biocide </w:t>
            </w:r>
            <w:proofErr w:type="spellStart"/>
            <w:r w:rsidRPr="00053279">
              <w:rPr>
                <w:sz w:val="20"/>
                <w:szCs w:val="20"/>
              </w:rPr>
              <w:t>dimethylfumarate</w:t>
            </w:r>
            <w:proofErr w:type="spellEnd"/>
            <w:r w:rsidRPr="00053279">
              <w:rPr>
                <w:sz w:val="20"/>
                <w:szCs w:val="20"/>
              </w:rPr>
              <w:t xml:space="preserve"> (DMF) are not</w:t>
            </w:r>
          </w:p>
          <w:p w14:paraId="4E94CE70" w14:textId="77777777" w:rsidR="001D6800" w:rsidRPr="00053279" w:rsidRDefault="001D6800" w:rsidP="00567869">
            <w:pPr>
              <w:rPr>
                <w:sz w:val="20"/>
                <w:szCs w:val="20"/>
              </w:rPr>
            </w:pPr>
            <w:r w:rsidRPr="00053279">
              <w:rPr>
                <w:sz w:val="20"/>
                <w:szCs w:val="20"/>
              </w:rPr>
              <w:t>placed or made available on the market</w:t>
            </w:r>
          </w:p>
        </w:tc>
      </w:tr>
      <w:tr w:rsidR="001D6800" w14:paraId="1AE0AABE" w14:textId="77777777" w:rsidTr="00053279">
        <w:tc>
          <w:tcPr>
            <w:tcW w:w="1261" w:type="dxa"/>
            <w:tcMar>
              <w:top w:w="29" w:type="dxa"/>
              <w:left w:w="115" w:type="dxa"/>
              <w:bottom w:w="29" w:type="dxa"/>
              <w:right w:w="115" w:type="dxa"/>
            </w:tcMar>
            <w:vAlign w:val="center"/>
          </w:tcPr>
          <w:p w14:paraId="1A80D45E" w14:textId="43082A06"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5B5FCD19" w14:textId="77777777" w:rsidR="001D6800" w:rsidRPr="00053279" w:rsidRDefault="001D6800" w:rsidP="001D6800">
            <w:pPr>
              <w:jc w:val="center"/>
              <w:rPr>
                <w:sz w:val="20"/>
                <w:szCs w:val="20"/>
              </w:rPr>
            </w:pPr>
            <w:r w:rsidRPr="00053279">
              <w:rPr>
                <w:sz w:val="20"/>
                <w:szCs w:val="20"/>
              </w:rPr>
              <w:t>EU</w:t>
            </w:r>
          </w:p>
        </w:tc>
        <w:tc>
          <w:tcPr>
            <w:tcW w:w="2251" w:type="dxa"/>
            <w:tcMar>
              <w:top w:w="29" w:type="dxa"/>
              <w:left w:w="115" w:type="dxa"/>
              <w:bottom w:w="29" w:type="dxa"/>
              <w:right w:w="115" w:type="dxa"/>
            </w:tcMar>
            <w:vAlign w:val="center"/>
          </w:tcPr>
          <w:p w14:paraId="054C25B5" w14:textId="77777777" w:rsidR="001D6800" w:rsidRPr="00053279" w:rsidRDefault="001D6800" w:rsidP="001D6800">
            <w:pPr>
              <w:jc w:val="center"/>
              <w:rPr>
                <w:sz w:val="20"/>
                <w:szCs w:val="20"/>
              </w:rPr>
            </w:pPr>
            <w:r w:rsidRPr="00053279">
              <w:rPr>
                <w:sz w:val="20"/>
                <w:szCs w:val="20"/>
              </w:rPr>
              <w:t>2006/121/EC</w:t>
            </w:r>
          </w:p>
        </w:tc>
        <w:tc>
          <w:tcPr>
            <w:tcW w:w="6226" w:type="dxa"/>
            <w:tcMar>
              <w:top w:w="29" w:type="dxa"/>
              <w:left w:w="115" w:type="dxa"/>
              <w:bottom w:w="29" w:type="dxa"/>
              <w:right w:w="115" w:type="dxa"/>
            </w:tcMar>
          </w:tcPr>
          <w:p w14:paraId="554F3A43" w14:textId="77777777" w:rsidR="001D6800" w:rsidRPr="00053279" w:rsidRDefault="001D6800" w:rsidP="00F03289">
            <w:pPr>
              <w:rPr>
                <w:sz w:val="20"/>
                <w:szCs w:val="20"/>
              </w:rPr>
            </w:pPr>
            <w:r w:rsidRPr="00053279">
              <w:rPr>
                <w:sz w:val="20"/>
                <w:szCs w:val="20"/>
              </w:rPr>
              <w:t>relating to the classification, packaging and labeling of dangerous substances in order to adapt it to Regulation (EC) No 1907/2006 concerning the Registration, Evaluation, Authorization and Restriction of Chemicals (REACH)</w:t>
            </w:r>
          </w:p>
          <w:p w14:paraId="5B7B0E4E" w14:textId="77777777" w:rsidR="001D6800" w:rsidRPr="00053279" w:rsidRDefault="001D6800" w:rsidP="00F03289">
            <w:pPr>
              <w:rPr>
                <w:sz w:val="20"/>
                <w:szCs w:val="20"/>
              </w:rPr>
            </w:pPr>
            <w:r w:rsidRPr="00053279">
              <w:rPr>
                <w:sz w:val="20"/>
                <w:szCs w:val="20"/>
              </w:rPr>
              <w:t>entered into force June 1, 2007</w:t>
            </w:r>
          </w:p>
        </w:tc>
      </w:tr>
      <w:tr w:rsidR="001D6800" w14:paraId="60DA2479" w14:textId="77777777" w:rsidTr="00053279">
        <w:tc>
          <w:tcPr>
            <w:tcW w:w="1261" w:type="dxa"/>
            <w:tcMar>
              <w:top w:w="29" w:type="dxa"/>
              <w:left w:w="115" w:type="dxa"/>
              <w:bottom w:w="29" w:type="dxa"/>
              <w:right w:w="115" w:type="dxa"/>
            </w:tcMar>
            <w:vAlign w:val="center"/>
          </w:tcPr>
          <w:p w14:paraId="3802FDC9" w14:textId="6F1CA3C4"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65CEDBCA" w14:textId="77777777" w:rsidR="001D6800" w:rsidRPr="00053279" w:rsidRDefault="001D6800" w:rsidP="001D6800">
            <w:pPr>
              <w:jc w:val="center"/>
              <w:rPr>
                <w:sz w:val="20"/>
                <w:szCs w:val="20"/>
              </w:rPr>
            </w:pPr>
            <w:r w:rsidRPr="00053279">
              <w:rPr>
                <w:sz w:val="20"/>
                <w:szCs w:val="20"/>
              </w:rPr>
              <w:t>China</w:t>
            </w:r>
          </w:p>
        </w:tc>
        <w:tc>
          <w:tcPr>
            <w:tcW w:w="2251" w:type="dxa"/>
            <w:tcMar>
              <w:top w:w="29" w:type="dxa"/>
              <w:left w:w="115" w:type="dxa"/>
              <w:bottom w:w="29" w:type="dxa"/>
              <w:right w:w="115" w:type="dxa"/>
            </w:tcMar>
            <w:vAlign w:val="center"/>
          </w:tcPr>
          <w:p w14:paraId="4BD2B112" w14:textId="77777777" w:rsidR="001D6800" w:rsidRPr="00053279" w:rsidRDefault="001D6800" w:rsidP="001D6800">
            <w:pPr>
              <w:jc w:val="center"/>
              <w:rPr>
                <w:sz w:val="20"/>
                <w:szCs w:val="20"/>
              </w:rPr>
            </w:pPr>
            <w:r w:rsidRPr="00053279">
              <w:rPr>
                <w:sz w:val="20"/>
                <w:szCs w:val="20"/>
              </w:rPr>
              <w:t>G/TBT/N/CHN/140</w:t>
            </w:r>
          </w:p>
        </w:tc>
        <w:tc>
          <w:tcPr>
            <w:tcW w:w="6226" w:type="dxa"/>
            <w:tcMar>
              <w:top w:w="29" w:type="dxa"/>
              <w:left w:w="115" w:type="dxa"/>
              <w:bottom w:w="29" w:type="dxa"/>
              <w:right w:w="115" w:type="dxa"/>
            </w:tcMar>
          </w:tcPr>
          <w:p w14:paraId="6CDFCD76" w14:textId="77777777" w:rsidR="001D6800" w:rsidRPr="00053279" w:rsidRDefault="001D6800" w:rsidP="007B3EDA">
            <w:pPr>
              <w:rPr>
                <w:sz w:val="20"/>
                <w:szCs w:val="20"/>
              </w:rPr>
            </w:pPr>
            <w:r w:rsidRPr="00053279">
              <w:rPr>
                <w:sz w:val="20"/>
                <w:szCs w:val="20"/>
              </w:rPr>
              <w:t>Administrative Measures on Electronic Information Pollution Control</w:t>
            </w:r>
          </w:p>
        </w:tc>
      </w:tr>
      <w:tr w:rsidR="001D6800" w14:paraId="2FCE14FB" w14:textId="77777777" w:rsidTr="00053279">
        <w:tc>
          <w:tcPr>
            <w:tcW w:w="1261" w:type="dxa"/>
            <w:tcMar>
              <w:top w:w="29" w:type="dxa"/>
              <w:left w:w="115" w:type="dxa"/>
              <w:bottom w:w="29" w:type="dxa"/>
              <w:right w:w="115" w:type="dxa"/>
            </w:tcMar>
            <w:vAlign w:val="center"/>
          </w:tcPr>
          <w:p w14:paraId="2BB6127F" w14:textId="593921FE"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02F05221" w14:textId="77777777" w:rsidR="001D6800" w:rsidRPr="00053279" w:rsidRDefault="001D6800" w:rsidP="001D6800">
            <w:pPr>
              <w:jc w:val="center"/>
              <w:rPr>
                <w:sz w:val="20"/>
                <w:szCs w:val="20"/>
              </w:rPr>
            </w:pPr>
            <w:r w:rsidRPr="00053279">
              <w:rPr>
                <w:sz w:val="20"/>
                <w:szCs w:val="20"/>
              </w:rPr>
              <w:t>Switzerland</w:t>
            </w:r>
          </w:p>
        </w:tc>
        <w:tc>
          <w:tcPr>
            <w:tcW w:w="2251" w:type="dxa"/>
            <w:tcMar>
              <w:top w:w="29" w:type="dxa"/>
              <w:left w:w="115" w:type="dxa"/>
              <w:bottom w:w="29" w:type="dxa"/>
              <w:right w:w="115" w:type="dxa"/>
            </w:tcMar>
            <w:vAlign w:val="center"/>
          </w:tcPr>
          <w:p w14:paraId="588B741C" w14:textId="77777777" w:rsidR="001D6800" w:rsidRPr="00053279" w:rsidRDefault="001D6800" w:rsidP="001D6800">
            <w:pPr>
              <w:jc w:val="center"/>
              <w:rPr>
                <w:sz w:val="20"/>
                <w:szCs w:val="20"/>
              </w:rPr>
            </w:pPr>
            <w:r w:rsidRPr="00053279">
              <w:rPr>
                <w:sz w:val="20"/>
                <w:szCs w:val="20"/>
              </w:rPr>
              <w:t>Ordinance of May 18, 2005</w:t>
            </w:r>
          </w:p>
        </w:tc>
        <w:tc>
          <w:tcPr>
            <w:tcW w:w="6226" w:type="dxa"/>
            <w:tcMar>
              <w:top w:w="29" w:type="dxa"/>
              <w:left w:w="115" w:type="dxa"/>
              <w:bottom w:w="29" w:type="dxa"/>
              <w:right w:w="115" w:type="dxa"/>
            </w:tcMar>
          </w:tcPr>
          <w:p w14:paraId="78F231E2" w14:textId="77777777" w:rsidR="00053279" w:rsidRDefault="001D6800" w:rsidP="007D4A9B">
            <w:pPr>
              <w:rPr>
                <w:sz w:val="20"/>
                <w:szCs w:val="20"/>
              </w:rPr>
            </w:pPr>
            <w:r w:rsidRPr="00053279">
              <w:rPr>
                <w:sz w:val="20"/>
                <w:szCs w:val="20"/>
              </w:rPr>
              <w:t>on the Reduction of Risk in the Use of certain hazardous substances, preparations, and articles, and its amendments</w:t>
            </w:r>
          </w:p>
          <w:p w14:paraId="7E70A887" w14:textId="77777777" w:rsidR="00053279" w:rsidRPr="00053279" w:rsidRDefault="00053279" w:rsidP="00053279">
            <w:pPr>
              <w:rPr>
                <w:sz w:val="20"/>
                <w:szCs w:val="20"/>
              </w:rPr>
            </w:pPr>
          </w:p>
          <w:p w14:paraId="42FE45F1" w14:textId="77777777" w:rsidR="001D6800" w:rsidRPr="00053279" w:rsidRDefault="00053279" w:rsidP="00645BA3">
            <w:pPr>
              <w:tabs>
                <w:tab w:val="left" w:pos="2325"/>
              </w:tabs>
              <w:rPr>
                <w:sz w:val="20"/>
                <w:szCs w:val="20"/>
              </w:rPr>
            </w:pPr>
            <w:r>
              <w:rPr>
                <w:sz w:val="20"/>
                <w:szCs w:val="20"/>
              </w:rPr>
              <w:tab/>
            </w:r>
          </w:p>
        </w:tc>
      </w:tr>
      <w:tr w:rsidR="001D6800" w14:paraId="085711DF" w14:textId="77777777" w:rsidTr="00053279">
        <w:tc>
          <w:tcPr>
            <w:tcW w:w="1261" w:type="dxa"/>
            <w:tcMar>
              <w:top w:w="29" w:type="dxa"/>
              <w:left w:w="115" w:type="dxa"/>
              <w:bottom w:w="29" w:type="dxa"/>
              <w:right w:w="115" w:type="dxa"/>
            </w:tcMar>
            <w:vAlign w:val="center"/>
          </w:tcPr>
          <w:p w14:paraId="1007A047" w14:textId="520B0916" w:rsidR="001D6800" w:rsidRPr="00053279" w:rsidRDefault="009F3164" w:rsidP="008B6722">
            <w:pPr>
              <w:keepNext/>
              <w:widowControl w:val="0"/>
              <w:jc w:val="center"/>
              <w:rPr>
                <w:sz w:val="20"/>
                <w:szCs w:val="20"/>
              </w:rPr>
            </w:pPr>
            <w:r>
              <w:rPr>
                <w:sz w:val="20"/>
                <w:szCs w:val="20"/>
              </w:rPr>
              <w:lastRenderedPageBreak/>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0F9C7506" w14:textId="77777777" w:rsidR="001D6800" w:rsidRPr="00053279" w:rsidRDefault="001D6800" w:rsidP="008B6722">
            <w:pPr>
              <w:keepNext/>
              <w:widowControl w:val="0"/>
              <w:jc w:val="center"/>
              <w:rPr>
                <w:sz w:val="20"/>
                <w:szCs w:val="20"/>
              </w:rPr>
            </w:pPr>
            <w:r w:rsidRPr="00053279">
              <w:rPr>
                <w:sz w:val="20"/>
                <w:szCs w:val="20"/>
              </w:rPr>
              <w:t>USA</w:t>
            </w:r>
          </w:p>
        </w:tc>
        <w:tc>
          <w:tcPr>
            <w:tcW w:w="2251" w:type="dxa"/>
            <w:tcMar>
              <w:top w:w="29" w:type="dxa"/>
              <w:left w:w="115" w:type="dxa"/>
              <w:bottom w:w="29" w:type="dxa"/>
              <w:right w:w="115" w:type="dxa"/>
            </w:tcMar>
            <w:vAlign w:val="center"/>
          </w:tcPr>
          <w:p w14:paraId="0042279F" w14:textId="77777777" w:rsidR="001D6800" w:rsidRPr="00053279" w:rsidRDefault="001D6800" w:rsidP="008B6722">
            <w:pPr>
              <w:keepNext/>
              <w:widowControl w:val="0"/>
              <w:jc w:val="center"/>
              <w:rPr>
                <w:sz w:val="20"/>
                <w:szCs w:val="20"/>
              </w:rPr>
            </w:pPr>
            <w:r w:rsidRPr="00053279">
              <w:rPr>
                <w:sz w:val="20"/>
                <w:szCs w:val="20"/>
              </w:rPr>
              <w:t>49 CFR Subchapter C (as it pertains to the transportation of batteries)</w:t>
            </w:r>
          </w:p>
        </w:tc>
        <w:tc>
          <w:tcPr>
            <w:tcW w:w="6226" w:type="dxa"/>
            <w:tcMar>
              <w:top w:w="29" w:type="dxa"/>
              <w:left w:w="115" w:type="dxa"/>
              <w:bottom w:w="29" w:type="dxa"/>
              <w:right w:w="115" w:type="dxa"/>
            </w:tcMar>
          </w:tcPr>
          <w:p w14:paraId="04F6BA55" w14:textId="77777777" w:rsidR="001D6800" w:rsidRPr="00053279" w:rsidRDefault="001D6800" w:rsidP="008B6722">
            <w:pPr>
              <w:keepNext/>
              <w:widowControl w:val="0"/>
              <w:rPr>
                <w:sz w:val="20"/>
                <w:szCs w:val="20"/>
              </w:rPr>
            </w:pPr>
            <w:r w:rsidRPr="00053279">
              <w:rPr>
                <w:sz w:val="20"/>
                <w:szCs w:val="20"/>
              </w:rPr>
              <w:t xml:space="preserve">Transportation, </w:t>
            </w:r>
            <w:r w:rsidRPr="00053279">
              <w:rPr>
                <w:rFonts w:ascii="Arial" w:hAnsi="Arial" w:cs="Arial"/>
                <w:color w:val="000000"/>
                <w:sz w:val="20"/>
                <w:szCs w:val="20"/>
                <w:shd w:val="clear" w:color="auto" w:fill="FFFFFF"/>
              </w:rPr>
              <w:t xml:space="preserve">Hazardous Materials Regulations </w:t>
            </w:r>
            <w:r w:rsidRPr="00053279">
              <w:rPr>
                <w:sz w:val="20"/>
                <w:szCs w:val="20"/>
              </w:rPr>
              <w:t>(as it pertains to the transportation of batteries)</w:t>
            </w:r>
          </w:p>
        </w:tc>
      </w:tr>
      <w:tr w:rsidR="001D6800" w14:paraId="3A5B3A67" w14:textId="77777777" w:rsidTr="00053279">
        <w:tc>
          <w:tcPr>
            <w:tcW w:w="1261" w:type="dxa"/>
            <w:tcMar>
              <w:top w:w="29" w:type="dxa"/>
              <w:left w:w="115" w:type="dxa"/>
              <w:bottom w:w="29" w:type="dxa"/>
              <w:right w:w="115" w:type="dxa"/>
            </w:tcMar>
            <w:vAlign w:val="center"/>
          </w:tcPr>
          <w:p w14:paraId="0F554256" w14:textId="7E2F4208"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54DE91E1" w14:textId="77777777" w:rsidR="001D6800" w:rsidRPr="00053279" w:rsidRDefault="001D6800" w:rsidP="001D6800">
            <w:pPr>
              <w:jc w:val="center"/>
              <w:rPr>
                <w:sz w:val="20"/>
                <w:szCs w:val="20"/>
              </w:rPr>
            </w:pPr>
            <w:r w:rsidRPr="00053279">
              <w:rPr>
                <w:sz w:val="20"/>
                <w:szCs w:val="20"/>
              </w:rPr>
              <w:t>Argentina</w:t>
            </w:r>
          </w:p>
        </w:tc>
        <w:tc>
          <w:tcPr>
            <w:tcW w:w="2251" w:type="dxa"/>
            <w:tcMar>
              <w:top w:w="29" w:type="dxa"/>
              <w:left w:w="115" w:type="dxa"/>
              <w:bottom w:w="29" w:type="dxa"/>
              <w:right w:w="115" w:type="dxa"/>
            </w:tcMar>
            <w:vAlign w:val="center"/>
          </w:tcPr>
          <w:p w14:paraId="798F4282" w14:textId="77777777" w:rsidR="001D6800" w:rsidRPr="00053279" w:rsidRDefault="001D6800" w:rsidP="001D6800">
            <w:pPr>
              <w:jc w:val="center"/>
              <w:rPr>
                <w:sz w:val="20"/>
                <w:szCs w:val="20"/>
              </w:rPr>
            </w:pPr>
            <w:r w:rsidRPr="00053279">
              <w:rPr>
                <w:sz w:val="20"/>
                <w:szCs w:val="20"/>
              </w:rPr>
              <w:t>Law 26.184 and resolutions 14/2007 and 484/2007</w:t>
            </w:r>
          </w:p>
        </w:tc>
        <w:tc>
          <w:tcPr>
            <w:tcW w:w="6226" w:type="dxa"/>
            <w:tcMar>
              <w:top w:w="29" w:type="dxa"/>
              <w:left w:w="115" w:type="dxa"/>
              <w:bottom w:w="29" w:type="dxa"/>
              <w:right w:w="115" w:type="dxa"/>
            </w:tcMar>
          </w:tcPr>
          <w:p w14:paraId="07F76E9D" w14:textId="77777777" w:rsidR="001D6800" w:rsidRPr="00053279" w:rsidRDefault="001D6800" w:rsidP="004845E2">
            <w:pPr>
              <w:rPr>
                <w:sz w:val="20"/>
                <w:szCs w:val="20"/>
              </w:rPr>
            </w:pPr>
            <w:r w:rsidRPr="00053279">
              <w:rPr>
                <w:sz w:val="20"/>
                <w:szCs w:val="20"/>
              </w:rPr>
              <w:t>prohibition against marketing, manufacturing , assembly and import of primary cells and batteries , with cylindrical or prism , zinc and coal common alkaline manganese</w:t>
            </w:r>
          </w:p>
        </w:tc>
      </w:tr>
      <w:tr w:rsidR="001D6800" w14:paraId="6C2C91EE" w14:textId="77777777" w:rsidTr="00053279">
        <w:tc>
          <w:tcPr>
            <w:tcW w:w="1261" w:type="dxa"/>
            <w:tcMar>
              <w:top w:w="29" w:type="dxa"/>
              <w:left w:w="115" w:type="dxa"/>
              <w:bottom w:w="29" w:type="dxa"/>
              <w:right w:w="115" w:type="dxa"/>
            </w:tcMar>
            <w:vAlign w:val="center"/>
          </w:tcPr>
          <w:p w14:paraId="58DC5231" w14:textId="5C5DB5F3"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1749F44D" w14:textId="77777777" w:rsidR="001D6800" w:rsidRPr="00053279" w:rsidRDefault="001D6800" w:rsidP="001D6800">
            <w:pPr>
              <w:jc w:val="center"/>
              <w:rPr>
                <w:sz w:val="20"/>
                <w:szCs w:val="20"/>
              </w:rPr>
            </w:pPr>
            <w:r w:rsidRPr="00053279">
              <w:rPr>
                <w:sz w:val="20"/>
                <w:szCs w:val="20"/>
              </w:rPr>
              <w:t>Brazil</w:t>
            </w:r>
          </w:p>
        </w:tc>
        <w:tc>
          <w:tcPr>
            <w:tcW w:w="2251" w:type="dxa"/>
            <w:tcMar>
              <w:top w:w="29" w:type="dxa"/>
              <w:left w:w="115" w:type="dxa"/>
              <w:bottom w:w="29" w:type="dxa"/>
              <w:right w:w="115" w:type="dxa"/>
            </w:tcMar>
            <w:vAlign w:val="center"/>
          </w:tcPr>
          <w:p w14:paraId="0B2DE0ED" w14:textId="77777777" w:rsidR="001D6800" w:rsidRPr="00053279" w:rsidRDefault="001D6800" w:rsidP="001D6800">
            <w:pPr>
              <w:jc w:val="center"/>
              <w:rPr>
                <w:sz w:val="20"/>
                <w:szCs w:val="20"/>
              </w:rPr>
            </w:pPr>
            <w:r w:rsidRPr="00053279">
              <w:rPr>
                <w:sz w:val="20"/>
                <w:szCs w:val="20"/>
              </w:rPr>
              <w:t>CONOMA Res. 257/99, amended by CONAMA Res. 401/08</w:t>
            </w:r>
          </w:p>
        </w:tc>
        <w:tc>
          <w:tcPr>
            <w:tcW w:w="6226" w:type="dxa"/>
            <w:tcMar>
              <w:top w:w="29" w:type="dxa"/>
              <w:left w:w="115" w:type="dxa"/>
              <w:bottom w:w="29" w:type="dxa"/>
              <w:right w:w="115" w:type="dxa"/>
            </w:tcMar>
          </w:tcPr>
          <w:p w14:paraId="7A1AAB5A" w14:textId="77777777" w:rsidR="001D6800" w:rsidRPr="00053279" w:rsidRDefault="001D6800" w:rsidP="00BB67D8">
            <w:pPr>
              <w:rPr>
                <w:sz w:val="20"/>
                <w:szCs w:val="20"/>
              </w:rPr>
            </w:pPr>
            <w:r w:rsidRPr="00053279">
              <w:rPr>
                <w:sz w:val="20"/>
                <w:szCs w:val="20"/>
              </w:rPr>
              <w:t>National Waste Law</w:t>
            </w:r>
          </w:p>
        </w:tc>
      </w:tr>
      <w:tr w:rsidR="001D6800" w14:paraId="14E66D52" w14:textId="77777777" w:rsidTr="00053279">
        <w:tc>
          <w:tcPr>
            <w:tcW w:w="1261" w:type="dxa"/>
            <w:tcMar>
              <w:top w:w="29" w:type="dxa"/>
              <w:left w:w="115" w:type="dxa"/>
              <w:bottom w:w="29" w:type="dxa"/>
              <w:right w:w="115" w:type="dxa"/>
            </w:tcMar>
            <w:vAlign w:val="center"/>
          </w:tcPr>
          <w:p w14:paraId="04E74995" w14:textId="5E9095BC"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37FE7ED2" w14:textId="77777777" w:rsidR="001D6800" w:rsidRPr="00053279" w:rsidRDefault="001D6800" w:rsidP="001D6800">
            <w:pPr>
              <w:jc w:val="center"/>
              <w:rPr>
                <w:sz w:val="20"/>
                <w:szCs w:val="20"/>
              </w:rPr>
            </w:pPr>
            <w:r w:rsidRPr="00053279">
              <w:rPr>
                <w:sz w:val="20"/>
                <w:szCs w:val="20"/>
              </w:rPr>
              <w:t>Turkey</w:t>
            </w:r>
          </w:p>
        </w:tc>
        <w:tc>
          <w:tcPr>
            <w:tcW w:w="2251" w:type="dxa"/>
            <w:tcMar>
              <w:top w:w="29" w:type="dxa"/>
              <w:left w:w="115" w:type="dxa"/>
              <w:bottom w:w="29" w:type="dxa"/>
              <w:right w:w="115" w:type="dxa"/>
            </w:tcMar>
            <w:vAlign w:val="center"/>
          </w:tcPr>
          <w:p w14:paraId="3953FFC7" w14:textId="77777777" w:rsidR="001D6800" w:rsidRPr="00053279" w:rsidRDefault="001D6800" w:rsidP="001D6800">
            <w:pPr>
              <w:jc w:val="center"/>
              <w:rPr>
                <w:sz w:val="20"/>
                <w:szCs w:val="20"/>
              </w:rPr>
            </w:pPr>
            <w:r w:rsidRPr="00053279">
              <w:rPr>
                <w:sz w:val="20"/>
                <w:szCs w:val="20"/>
              </w:rPr>
              <w:t>Announcement 2009/15</w:t>
            </w:r>
          </w:p>
        </w:tc>
        <w:tc>
          <w:tcPr>
            <w:tcW w:w="6226" w:type="dxa"/>
            <w:tcMar>
              <w:top w:w="29" w:type="dxa"/>
              <w:left w:w="115" w:type="dxa"/>
              <w:bottom w:w="29" w:type="dxa"/>
              <w:right w:w="115" w:type="dxa"/>
            </w:tcMar>
          </w:tcPr>
          <w:p w14:paraId="668845B0" w14:textId="77777777" w:rsidR="001D6800" w:rsidRPr="00053279" w:rsidRDefault="001D6800" w:rsidP="004845E2">
            <w:pPr>
              <w:rPr>
                <w:sz w:val="20"/>
                <w:szCs w:val="20"/>
              </w:rPr>
            </w:pPr>
            <w:r w:rsidRPr="00053279">
              <w:rPr>
                <w:sz w:val="20"/>
                <w:szCs w:val="20"/>
              </w:rPr>
              <w:t>Announcement of Standardization in the Foreign Commerce Concerning the Importation Inspections of the Batteries and Accumulators</w:t>
            </w:r>
          </w:p>
        </w:tc>
      </w:tr>
      <w:tr w:rsidR="001D6800" w14:paraId="0FE1CF1C" w14:textId="77777777" w:rsidTr="00053279">
        <w:tc>
          <w:tcPr>
            <w:tcW w:w="1261" w:type="dxa"/>
            <w:tcMar>
              <w:top w:w="29" w:type="dxa"/>
              <w:left w:w="115" w:type="dxa"/>
              <w:bottom w:w="29" w:type="dxa"/>
              <w:right w:w="115" w:type="dxa"/>
            </w:tcMar>
            <w:vAlign w:val="center"/>
          </w:tcPr>
          <w:p w14:paraId="66FCAA58" w14:textId="47FD04B2"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061FDDB8" w14:textId="77777777" w:rsidR="001D6800" w:rsidRPr="00053279" w:rsidRDefault="001D6800" w:rsidP="001D6800">
            <w:pPr>
              <w:jc w:val="center"/>
              <w:rPr>
                <w:sz w:val="20"/>
                <w:szCs w:val="20"/>
              </w:rPr>
            </w:pPr>
            <w:r w:rsidRPr="00053279">
              <w:rPr>
                <w:sz w:val="20"/>
                <w:szCs w:val="20"/>
              </w:rPr>
              <w:t>Israel</w:t>
            </w:r>
          </w:p>
        </w:tc>
        <w:tc>
          <w:tcPr>
            <w:tcW w:w="2251" w:type="dxa"/>
            <w:tcMar>
              <w:top w:w="29" w:type="dxa"/>
              <w:left w:w="115" w:type="dxa"/>
              <w:bottom w:w="29" w:type="dxa"/>
              <w:right w:w="115" w:type="dxa"/>
            </w:tcMar>
            <w:vAlign w:val="center"/>
          </w:tcPr>
          <w:p w14:paraId="0F8996F7" w14:textId="77777777" w:rsidR="001D6800" w:rsidRPr="00053279" w:rsidRDefault="001D6800" w:rsidP="001D6800">
            <w:pPr>
              <w:jc w:val="center"/>
              <w:rPr>
                <w:sz w:val="20"/>
                <w:szCs w:val="20"/>
              </w:rPr>
            </w:pPr>
            <w:r w:rsidRPr="00053279">
              <w:rPr>
                <w:sz w:val="20"/>
                <w:szCs w:val="20"/>
              </w:rPr>
              <w:t>SI 990</w:t>
            </w:r>
          </w:p>
        </w:tc>
        <w:tc>
          <w:tcPr>
            <w:tcW w:w="6226" w:type="dxa"/>
            <w:tcMar>
              <w:top w:w="29" w:type="dxa"/>
              <w:left w:w="115" w:type="dxa"/>
              <w:bottom w:w="29" w:type="dxa"/>
              <w:right w:w="115" w:type="dxa"/>
            </w:tcMar>
          </w:tcPr>
          <w:p w14:paraId="2C714145" w14:textId="77777777" w:rsidR="001D6800" w:rsidRPr="00053279" w:rsidRDefault="001D6800" w:rsidP="00BB67D8">
            <w:pPr>
              <w:rPr>
                <w:sz w:val="20"/>
                <w:szCs w:val="20"/>
              </w:rPr>
            </w:pPr>
            <w:r w:rsidRPr="00053279">
              <w:rPr>
                <w:sz w:val="20"/>
                <w:szCs w:val="20"/>
              </w:rPr>
              <w:t>Mandatory standard: SI 990-Primary batteries: general requirement with reduced environmental impact</w:t>
            </w:r>
          </w:p>
        </w:tc>
      </w:tr>
      <w:tr w:rsidR="001D6800" w14:paraId="46B2234A" w14:textId="77777777" w:rsidTr="00053279">
        <w:tc>
          <w:tcPr>
            <w:tcW w:w="1261" w:type="dxa"/>
            <w:tcMar>
              <w:top w:w="29" w:type="dxa"/>
              <w:left w:w="115" w:type="dxa"/>
              <w:bottom w:w="29" w:type="dxa"/>
              <w:right w:w="115" w:type="dxa"/>
            </w:tcMar>
            <w:vAlign w:val="center"/>
          </w:tcPr>
          <w:p w14:paraId="64D30CE2" w14:textId="61B97751"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0FA21E49" w14:textId="77777777" w:rsidR="001D6800" w:rsidRPr="00053279" w:rsidRDefault="001D6800" w:rsidP="001D6800">
            <w:pPr>
              <w:jc w:val="center"/>
              <w:rPr>
                <w:sz w:val="20"/>
                <w:szCs w:val="20"/>
              </w:rPr>
            </w:pPr>
            <w:r w:rsidRPr="00053279">
              <w:rPr>
                <w:sz w:val="20"/>
                <w:szCs w:val="20"/>
              </w:rPr>
              <w:t>India</w:t>
            </w:r>
          </w:p>
        </w:tc>
        <w:tc>
          <w:tcPr>
            <w:tcW w:w="2251" w:type="dxa"/>
            <w:tcMar>
              <w:top w:w="29" w:type="dxa"/>
              <w:left w:w="115" w:type="dxa"/>
              <w:bottom w:w="29" w:type="dxa"/>
              <w:right w:w="115" w:type="dxa"/>
            </w:tcMar>
            <w:vAlign w:val="center"/>
          </w:tcPr>
          <w:p w14:paraId="59708460" w14:textId="77777777" w:rsidR="001D6800" w:rsidRPr="00053279" w:rsidRDefault="001D6800" w:rsidP="001D6800">
            <w:pPr>
              <w:jc w:val="center"/>
              <w:rPr>
                <w:sz w:val="20"/>
                <w:szCs w:val="20"/>
              </w:rPr>
            </w:pPr>
            <w:r w:rsidRPr="00053279">
              <w:rPr>
                <w:sz w:val="20"/>
                <w:szCs w:val="20"/>
              </w:rPr>
              <w:t>S.O. 432(E) of 16</w:t>
            </w:r>
            <w:r w:rsidRPr="00053279">
              <w:rPr>
                <w:sz w:val="20"/>
                <w:szCs w:val="20"/>
                <w:vertAlign w:val="superscript"/>
              </w:rPr>
              <w:t>th</w:t>
            </w:r>
            <w:r w:rsidRPr="00053279">
              <w:rPr>
                <w:sz w:val="20"/>
                <w:szCs w:val="20"/>
              </w:rPr>
              <w:t xml:space="preserve"> May, 2001</w:t>
            </w:r>
          </w:p>
        </w:tc>
        <w:tc>
          <w:tcPr>
            <w:tcW w:w="6226" w:type="dxa"/>
            <w:tcMar>
              <w:top w:w="29" w:type="dxa"/>
              <w:left w:w="115" w:type="dxa"/>
              <w:bottom w:w="29" w:type="dxa"/>
              <w:right w:w="115" w:type="dxa"/>
            </w:tcMar>
          </w:tcPr>
          <w:p w14:paraId="4C933702" w14:textId="77777777" w:rsidR="001D6800" w:rsidRPr="00053279" w:rsidRDefault="001D6800" w:rsidP="004F31D8">
            <w:pPr>
              <w:rPr>
                <w:sz w:val="20"/>
                <w:szCs w:val="20"/>
              </w:rPr>
            </w:pPr>
            <w:r w:rsidRPr="00053279">
              <w:rPr>
                <w:sz w:val="20"/>
                <w:szCs w:val="20"/>
              </w:rPr>
              <w:t>Batteries (Management and Handling) Rules</w:t>
            </w:r>
          </w:p>
        </w:tc>
      </w:tr>
      <w:tr w:rsidR="001D6800" w14:paraId="43A98717" w14:textId="77777777" w:rsidTr="00053279">
        <w:tc>
          <w:tcPr>
            <w:tcW w:w="1261" w:type="dxa"/>
            <w:tcMar>
              <w:top w:w="29" w:type="dxa"/>
              <w:left w:w="115" w:type="dxa"/>
              <w:bottom w:w="29" w:type="dxa"/>
              <w:right w:w="115" w:type="dxa"/>
            </w:tcMar>
            <w:vAlign w:val="center"/>
          </w:tcPr>
          <w:p w14:paraId="3B00A660" w14:textId="5C4134EB"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22FB7835" w14:textId="77777777" w:rsidR="001D6800" w:rsidRPr="00053279" w:rsidRDefault="001D6800" w:rsidP="001D6800">
            <w:pPr>
              <w:jc w:val="center"/>
              <w:rPr>
                <w:sz w:val="20"/>
                <w:szCs w:val="20"/>
              </w:rPr>
            </w:pPr>
            <w:r w:rsidRPr="00053279">
              <w:rPr>
                <w:sz w:val="20"/>
                <w:szCs w:val="20"/>
              </w:rPr>
              <w:t>Japan</w:t>
            </w:r>
          </w:p>
        </w:tc>
        <w:tc>
          <w:tcPr>
            <w:tcW w:w="2251" w:type="dxa"/>
            <w:tcMar>
              <w:top w:w="29" w:type="dxa"/>
              <w:left w:w="115" w:type="dxa"/>
              <w:bottom w:w="29" w:type="dxa"/>
              <w:right w:w="115" w:type="dxa"/>
            </w:tcMar>
            <w:vAlign w:val="center"/>
          </w:tcPr>
          <w:p w14:paraId="243F6019" w14:textId="77777777" w:rsidR="001D6800" w:rsidRPr="00053279" w:rsidRDefault="001D6800" w:rsidP="001D6800">
            <w:pPr>
              <w:jc w:val="center"/>
              <w:rPr>
                <w:sz w:val="20"/>
                <w:szCs w:val="20"/>
              </w:rPr>
            </w:pPr>
            <w:r w:rsidRPr="00053279">
              <w:rPr>
                <w:sz w:val="20"/>
                <w:szCs w:val="20"/>
              </w:rPr>
              <w:t>(Law no. 48 of 1991) as amended June 2000; Ministerial Ordinance No. 93 of March 2001</w:t>
            </w:r>
          </w:p>
        </w:tc>
        <w:tc>
          <w:tcPr>
            <w:tcW w:w="6226" w:type="dxa"/>
            <w:tcMar>
              <w:top w:w="29" w:type="dxa"/>
              <w:left w:w="115" w:type="dxa"/>
              <w:bottom w:w="29" w:type="dxa"/>
              <w:right w:w="115" w:type="dxa"/>
            </w:tcMar>
          </w:tcPr>
          <w:p w14:paraId="2E566691" w14:textId="77777777" w:rsidR="001D6800" w:rsidRPr="00053279" w:rsidRDefault="001D6800" w:rsidP="00BB67D8">
            <w:pPr>
              <w:rPr>
                <w:sz w:val="20"/>
                <w:szCs w:val="20"/>
              </w:rPr>
            </w:pPr>
            <w:r w:rsidRPr="00053279">
              <w:rPr>
                <w:sz w:val="20"/>
                <w:szCs w:val="20"/>
              </w:rPr>
              <w:t>Law for Promotion of Effective Utilization of Recyclable Resources</w:t>
            </w:r>
          </w:p>
        </w:tc>
      </w:tr>
      <w:tr w:rsidR="001D6800" w14:paraId="0C44B174" w14:textId="77777777" w:rsidTr="00053279">
        <w:tc>
          <w:tcPr>
            <w:tcW w:w="1261" w:type="dxa"/>
            <w:tcMar>
              <w:top w:w="29" w:type="dxa"/>
              <w:left w:w="115" w:type="dxa"/>
              <w:bottom w:w="29" w:type="dxa"/>
              <w:right w:w="115" w:type="dxa"/>
            </w:tcMar>
            <w:vAlign w:val="center"/>
          </w:tcPr>
          <w:p w14:paraId="59B062F5" w14:textId="25984C2E"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5ED13688" w14:textId="77777777" w:rsidR="001D6800" w:rsidRPr="00053279" w:rsidRDefault="001D6800" w:rsidP="001D6800">
            <w:pPr>
              <w:jc w:val="center"/>
              <w:rPr>
                <w:sz w:val="20"/>
                <w:szCs w:val="20"/>
              </w:rPr>
            </w:pPr>
            <w:r w:rsidRPr="00053279">
              <w:rPr>
                <w:sz w:val="20"/>
                <w:szCs w:val="20"/>
              </w:rPr>
              <w:t>Taiwan</w:t>
            </w:r>
          </w:p>
        </w:tc>
        <w:tc>
          <w:tcPr>
            <w:tcW w:w="2251" w:type="dxa"/>
            <w:tcMar>
              <w:top w:w="29" w:type="dxa"/>
              <w:left w:w="115" w:type="dxa"/>
              <w:bottom w:w="29" w:type="dxa"/>
              <w:right w:w="115" w:type="dxa"/>
            </w:tcMar>
            <w:vAlign w:val="center"/>
          </w:tcPr>
          <w:p w14:paraId="1B25DDF8" w14:textId="77777777" w:rsidR="001D6800" w:rsidRPr="00053279" w:rsidRDefault="001D6800" w:rsidP="001D6800">
            <w:pPr>
              <w:jc w:val="center"/>
              <w:rPr>
                <w:sz w:val="20"/>
                <w:szCs w:val="20"/>
              </w:rPr>
            </w:pPr>
            <w:r w:rsidRPr="00053279">
              <w:rPr>
                <w:sz w:val="20"/>
                <w:szCs w:val="20"/>
              </w:rPr>
              <w:t>Acts 0920042910, 0950079457, &amp; 0980108488</w:t>
            </w:r>
          </w:p>
        </w:tc>
        <w:tc>
          <w:tcPr>
            <w:tcW w:w="6226" w:type="dxa"/>
            <w:tcMar>
              <w:top w:w="29" w:type="dxa"/>
              <w:left w:w="115" w:type="dxa"/>
              <w:bottom w:w="29" w:type="dxa"/>
              <w:right w:w="115" w:type="dxa"/>
            </w:tcMar>
          </w:tcPr>
          <w:p w14:paraId="16C12F6A" w14:textId="77777777" w:rsidR="001D6800" w:rsidRPr="00053279" w:rsidRDefault="001D6800" w:rsidP="000004D9">
            <w:pPr>
              <w:rPr>
                <w:sz w:val="20"/>
                <w:szCs w:val="20"/>
              </w:rPr>
            </w:pPr>
            <w:r w:rsidRPr="00053279">
              <w:rPr>
                <w:sz w:val="20"/>
                <w:szCs w:val="20"/>
              </w:rPr>
              <w:t>“Waste Ought to Be Recycled”, June 1, 2003; EPA Act 1670 (Heavy metals), Promulgated and effective January 18, 2001; Most recently December 7, 2009. Dry Battery Recycling Fee, first implemented on October 13,2006 (#0950079457); amended on November 27, 2009 (#0980108488) “Responsibility of Manufacturers and Importers with Regards to Recycling, Clearance, and Disposal”, as amended on January 1, 2010</w:t>
            </w:r>
          </w:p>
        </w:tc>
      </w:tr>
      <w:tr w:rsidR="001D6800" w14:paraId="7170FEBA" w14:textId="77777777" w:rsidTr="00053279">
        <w:tc>
          <w:tcPr>
            <w:tcW w:w="1261" w:type="dxa"/>
            <w:tcMar>
              <w:top w:w="29" w:type="dxa"/>
              <w:left w:w="115" w:type="dxa"/>
              <w:bottom w:w="29" w:type="dxa"/>
              <w:right w:w="115" w:type="dxa"/>
            </w:tcMar>
            <w:vAlign w:val="center"/>
          </w:tcPr>
          <w:p w14:paraId="42586E9B" w14:textId="130BCCE2"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55980461" w14:textId="77777777" w:rsidR="001D6800" w:rsidRPr="00053279" w:rsidRDefault="001D6800" w:rsidP="001D6800">
            <w:pPr>
              <w:jc w:val="center"/>
              <w:rPr>
                <w:sz w:val="20"/>
                <w:szCs w:val="20"/>
              </w:rPr>
            </w:pPr>
            <w:r w:rsidRPr="00053279">
              <w:rPr>
                <w:sz w:val="20"/>
                <w:szCs w:val="20"/>
              </w:rPr>
              <w:t>USA-FL</w:t>
            </w:r>
          </w:p>
        </w:tc>
        <w:tc>
          <w:tcPr>
            <w:tcW w:w="2251" w:type="dxa"/>
            <w:tcMar>
              <w:top w:w="29" w:type="dxa"/>
              <w:left w:w="115" w:type="dxa"/>
              <w:bottom w:w="29" w:type="dxa"/>
              <w:right w:w="115" w:type="dxa"/>
            </w:tcMar>
            <w:vAlign w:val="center"/>
          </w:tcPr>
          <w:p w14:paraId="43ECCF6F" w14:textId="77777777" w:rsidR="001D6800" w:rsidRPr="00053279" w:rsidRDefault="001D6800" w:rsidP="001D6800">
            <w:pPr>
              <w:jc w:val="center"/>
              <w:rPr>
                <w:sz w:val="20"/>
                <w:szCs w:val="20"/>
              </w:rPr>
            </w:pPr>
            <w:r w:rsidRPr="00053279">
              <w:rPr>
                <w:sz w:val="20"/>
                <w:szCs w:val="20"/>
              </w:rPr>
              <w:t>Statutes</w:t>
            </w:r>
          </w:p>
        </w:tc>
        <w:tc>
          <w:tcPr>
            <w:tcW w:w="6226" w:type="dxa"/>
            <w:tcMar>
              <w:top w:w="29" w:type="dxa"/>
              <w:left w:w="115" w:type="dxa"/>
              <w:bottom w:w="29" w:type="dxa"/>
              <w:right w:w="115" w:type="dxa"/>
            </w:tcMar>
          </w:tcPr>
          <w:p w14:paraId="6EDEB920" w14:textId="77777777" w:rsidR="001D6800" w:rsidRPr="00053279" w:rsidRDefault="001D6800" w:rsidP="000004D9">
            <w:pPr>
              <w:rPr>
                <w:sz w:val="20"/>
                <w:szCs w:val="20"/>
              </w:rPr>
            </w:pPr>
            <w:r w:rsidRPr="00053279">
              <w:rPr>
                <w:sz w:val="20"/>
                <w:szCs w:val="20"/>
              </w:rPr>
              <w:t>403.7192 (Batteries) &amp; 403.708 (Lead-Acid Batteries)</w:t>
            </w:r>
          </w:p>
        </w:tc>
      </w:tr>
      <w:tr w:rsidR="001D6800" w14:paraId="626B3F76" w14:textId="77777777" w:rsidTr="00053279">
        <w:tc>
          <w:tcPr>
            <w:tcW w:w="1261" w:type="dxa"/>
            <w:tcMar>
              <w:top w:w="29" w:type="dxa"/>
              <w:left w:w="115" w:type="dxa"/>
              <w:bottom w:w="29" w:type="dxa"/>
              <w:right w:w="115" w:type="dxa"/>
            </w:tcMar>
            <w:vAlign w:val="center"/>
          </w:tcPr>
          <w:p w14:paraId="16E91A63" w14:textId="4F495FCC"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07A60256" w14:textId="77777777" w:rsidR="001D6800" w:rsidRPr="00053279" w:rsidRDefault="001D6800" w:rsidP="001D6800">
            <w:pPr>
              <w:jc w:val="center"/>
              <w:rPr>
                <w:sz w:val="20"/>
                <w:szCs w:val="20"/>
              </w:rPr>
            </w:pPr>
            <w:r w:rsidRPr="00053279">
              <w:rPr>
                <w:sz w:val="20"/>
                <w:szCs w:val="20"/>
              </w:rPr>
              <w:t>USA-ME</w:t>
            </w:r>
          </w:p>
        </w:tc>
        <w:tc>
          <w:tcPr>
            <w:tcW w:w="2251" w:type="dxa"/>
            <w:tcMar>
              <w:top w:w="29" w:type="dxa"/>
              <w:left w:w="115" w:type="dxa"/>
              <w:bottom w:w="29" w:type="dxa"/>
              <w:right w:w="115" w:type="dxa"/>
            </w:tcMar>
            <w:vAlign w:val="center"/>
          </w:tcPr>
          <w:p w14:paraId="06B463D4" w14:textId="77777777" w:rsidR="001D6800" w:rsidRPr="00053279" w:rsidRDefault="001D6800" w:rsidP="001D6800">
            <w:pPr>
              <w:jc w:val="center"/>
              <w:rPr>
                <w:sz w:val="20"/>
                <w:szCs w:val="20"/>
              </w:rPr>
            </w:pPr>
            <w:r w:rsidRPr="00053279">
              <w:rPr>
                <w:sz w:val="20"/>
                <w:szCs w:val="20"/>
              </w:rPr>
              <w:t>38 MSRA 2165</w:t>
            </w:r>
          </w:p>
        </w:tc>
        <w:tc>
          <w:tcPr>
            <w:tcW w:w="6226" w:type="dxa"/>
            <w:tcMar>
              <w:top w:w="29" w:type="dxa"/>
              <w:left w:w="115" w:type="dxa"/>
              <w:bottom w:w="29" w:type="dxa"/>
              <w:right w:w="115" w:type="dxa"/>
            </w:tcMar>
          </w:tcPr>
          <w:p w14:paraId="51667389" w14:textId="77777777" w:rsidR="001D6800" w:rsidRPr="00053279" w:rsidRDefault="001D6800" w:rsidP="000004D9">
            <w:pPr>
              <w:rPr>
                <w:sz w:val="20"/>
                <w:szCs w:val="20"/>
              </w:rPr>
            </w:pPr>
            <w:r w:rsidRPr="00053279">
              <w:rPr>
                <w:sz w:val="20"/>
                <w:szCs w:val="20"/>
              </w:rPr>
              <w:t>Regulation of Dry Cell Batteries</w:t>
            </w:r>
          </w:p>
        </w:tc>
      </w:tr>
      <w:tr w:rsidR="001D6800" w14:paraId="393BFBF4" w14:textId="77777777" w:rsidTr="00053279">
        <w:tc>
          <w:tcPr>
            <w:tcW w:w="1261" w:type="dxa"/>
            <w:tcMar>
              <w:top w:w="29" w:type="dxa"/>
              <w:left w:w="115" w:type="dxa"/>
              <w:bottom w:w="29" w:type="dxa"/>
              <w:right w:w="115" w:type="dxa"/>
            </w:tcMar>
            <w:vAlign w:val="center"/>
          </w:tcPr>
          <w:p w14:paraId="476E72E6" w14:textId="3CADDCDD"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733AC402" w14:textId="77777777" w:rsidR="001D6800" w:rsidRPr="00053279" w:rsidRDefault="001D6800" w:rsidP="001D6800">
            <w:pPr>
              <w:jc w:val="center"/>
              <w:rPr>
                <w:sz w:val="20"/>
                <w:szCs w:val="20"/>
              </w:rPr>
            </w:pPr>
            <w:r w:rsidRPr="00053279">
              <w:rPr>
                <w:sz w:val="20"/>
                <w:szCs w:val="20"/>
              </w:rPr>
              <w:t>USA-MN</w:t>
            </w:r>
          </w:p>
        </w:tc>
        <w:tc>
          <w:tcPr>
            <w:tcW w:w="2251" w:type="dxa"/>
            <w:tcMar>
              <w:top w:w="29" w:type="dxa"/>
              <w:left w:w="115" w:type="dxa"/>
              <w:bottom w:w="29" w:type="dxa"/>
              <w:right w:w="115" w:type="dxa"/>
            </w:tcMar>
            <w:vAlign w:val="center"/>
          </w:tcPr>
          <w:p w14:paraId="307E747E" w14:textId="77777777" w:rsidR="001D6800" w:rsidRPr="00053279" w:rsidRDefault="001D6800" w:rsidP="001D6800">
            <w:pPr>
              <w:jc w:val="center"/>
              <w:rPr>
                <w:sz w:val="20"/>
                <w:szCs w:val="20"/>
              </w:rPr>
            </w:pPr>
            <w:r w:rsidRPr="00053279">
              <w:rPr>
                <w:sz w:val="20"/>
                <w:szCs w:val="20"/>
              </w:rPr>
              <w:t>Statutes</w:t>
            </w:r>
          </w:p>
        </w:tc>
        <w:tc>
          <w:tcPr>
            <w:tcW w:w="6226" w:type="dxa"/>
            <w:tcMar>
              <w:top w:w="29" w:type="dxa"/>
              <w:left w:w="115" w:type="dxa"/>
              <w:bottom w:w="29" w:type="dxa"/>
              <w:right w:w="115" w:type="dxa"/>
            </w:tcMar>
          </w:tcPr>
          <w:p w14:paraId="7E47D1AC" w14:textId="77777777" w:rsidR="001D6800" w:rsidRPr="00053279" w:rsidRDefault="001D6800" w:rsidP="00201B56">
            <w:pPr>
              <w:rPr>
                <w:sz w:val="20"/>
                <w:szCs w:val="20"/>
              </w:rPr>
            </w:pPr>
            <w:r w:rsidRPr="00053279">
              <w:rPr>
                <w:sz w:val="20"/>
                <w:szCs w:val="20"/>
              </w:rPr>
              <w:t>325E.125 General and special purpose battery requirements;</w:t>
            </w:r>
          </w:p>
          <w:p w14:paraId="2443B3C3" w14:textId="77777777" w:rsidR="001D6800" w:rsidRPr="00053279" w:rsidRDefault="001D6800" w:rsidP="00201B56">
            <w:pPr>
              <w:rPr>
                <w:sz w:val="20"/>
                <w:szCs w:val="20"/>
              </w:rPr>
            </w:pPr>
            <w:r w:rsidRPr="00053279">
              <w:rPr>
                <w:sz w:val="20"/>
                <w:szCs w:val="20"/>
              </w:rPr>
              <w:t>115A.9157 Rechargeable batteries and products;</w:t>
            </w:r>
          </w:p>
          <w:p w14:paraId="5454187B" w14:textId="77777777" w:rsidR="001D6800" w:rsidRPr="00053279" w:rsidRDefault="001D6800" w:rsidP="00201B56">
            <w:pPr>
              <w:rPr>
                <w:sz w:val="20"/>
                <w:szCs w:val="20"/>
              </w:rPr>
            </w:pPr>
            <w:r w:rsidRPr="00053279">
              <w:rPr>
                <w:sz w:val="20"/>
                <w:szCs w:val="20"/>
              </w:rPr>
              <w:t>115A.9155 Disposal of certain dry cell batteries</w:t>
            </w:r>
          </w:p>
        </w:tc>
      </w:tr>
      <w:tr w:rsidR="001D6800" w14:paraId="0B00E7C5" w14:textId="77777777" w:rsidTr="00053279">
        <w:tc>
          <w:tcPr>
            <w:tcW w:w="1261" w:type="dxa"/>
            <w:tcMar>
              <w:top w:w="29" w:type="dxa"/>
              <w:left w:w="115" w:type="dxa"/>
              <w:bottom w:w="29" w:type="dxa"/>
              <w:right w:w="115" w:type="dxa"/>
            </w:tcMar>
            <w:vAlign w:val="center"/>
          </w:tcPr>
          <w:p w14:paraId="4D3D8E3D" w14:textId="4899CC70"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4D86A8C1" w14:textId="77777777" w:rsidR="001D6800" w:rsidRPr="00053279" w:rsidRDefault="001D6800" w:rsidP="001D6800">
            <w:pPr>
              <w:jc w:val="center"/>
              <w:rPr>
                <w:sz w:val="20"/>
                <w:szCs w:val="20"/>
              </w:rPr>
            </w:pPr>
            <w:r w:rsidRPr="00053279">
              <w:rPr>
                <w:sz w:val="20"/>
                <w:szCs w:val="20"/>
              </w:rPr>
              <w:t>USA-NH</w:t>
            </w:r>
          </w:p>
        </w:tc>
        <w:tc>
          <w:tcPr>
            <w:tcW w:w="2251" w:type="dxa"/>
            <w:tcMar>
              <w:top w:w="29" w:type="dxa"/>
              <w:left w:w="115" w:type="dxa"/>
              <w:bottom w:w="29" w:type="dxa"/>
              <w:right w:w="115" w:type="dxa"/>
            </w:tcMar>
            <w:vAlign w:val="center"/>
          </w:tcPr>
          <w:p w14:paraId="4204D1D9" w14:textId="77777777" w:rsidR="001D6800" w:rsidRPr="00053279" w:rsidRDefault="001D6800" w:rsidP="001D6800">
            <w:pPr>
              <w:jc w:val="center"/>
              <w:rPr>
                <w:sz w:val="20"/>
                <w:szCs w:val="20"/>
              </w:rPr>
            </w:pPr>
            <w:r w:rsidRPr="00053279">
              <w:rPr>
                <w:sz w:val="20"/>
                <w:szCs w:val="20"/>
              </w:rPr>
              <w:t>149-M:28</w:t>
            </w:r>
          </w:p>
        </w:tc>
        <w:tc>
          <w:tcPr>
            <w:tcW w:w="6226" w:type="dxa"/>
            <w:tcMar>
              <w:top w:w="29" w:type="dxa"/>
              <w:left w:w="115" w:type="dxa"/>
              <w:bottom w:w="29" w:type="dxa"/>
              <w:right w:w="115" w:type="dxa"/>
            </w:tcMar>
          </w:tcPr>
          <w:p w14:paraId="4DF35496" w14:textId="77777777" w:rsidR="001D6800" w:rsidRPr="00053279" w:rsidRDefault="001D6800" w:rsidP="00201B56">
            <w:pPr>
              <w:rPr>
                <w:sz w:val="20"/>
                <w:szCs w:val="20"/>
              </w:rPr>
            </w:pPr>
            <w:r w:rsidRPr="00053279">
              <w:rPr>
                <w:sz w:val="20"/>
                <w:szCs w:val="20"/>
              </w:rPr>
              <w:t>Title X Public Health, Chapter 149-M Solid Waste Management</w:t>
            </w:r>
          </w:p>
        </w:tc>
      </w:tr>
      <w:tr w:rsidR="001D6800" w14:paraId="0D127E6D" w14:textId="77777777" w:rsidTr="00053279">
        <w:tc>
          <w:tcPr>
            <w:tcW w:w="1261" w:type="dxa"/>
            <w:tcMar>
              <w:top w:w="29" w:type="dxa"/>
              <w:left w:w="115" w:type="dxa"/>
              <w:bottom w:w="29" w:type="dxa"/>
              <w:right w:w="115" w:type="dxa"/>
            </w:tcMar>
            <w:vAlign w:val="center"/>
          </w:tcPr>
          <w:p w14:paraId="3CC82BE9" w14:textId="42C3AAF4"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66495E16" w14:textId="77777777" w:rsidR="001D6800" w:rsidRPr="00053279" w:rsidRDefault="001D6800" w:rsidP="001D6800">
            <w:pPr>
              <w:jc w:val="center"/>
              <w:rPr>
                <w:sz w:val="20"/>
                <w:szCs w:val="20"/>
              </w:rPr>
            </w:pPr>
            <w:r w:rsidRPr="00053279">
              <w:rPr>
                <w:sz w:val="20"/>
                <w:szCs w:val="20"/>
              </w:rPr>
              <w:t>USA-NJ</w:t>
            </w:r>
          </w:p>
        </w:tc>
        <w:tc>
          <w:tcPr>
            <w:tcW w:w="2251" w:type="dxa"/>
            <w:tcMar>
              <w:top w:w="29" w:type="dxa"/>
              <w:left w:w="115" w:type="dxa"/>
              <w:bottom w:w="29" w:type="dxa"/>
              <w:right w:w="115" w:type="dxa"/>
            </w:tcMar>
            <w:vAlign w:val="center"/>
          </w:tcPr>
          <w:p w14:paraId="27AB6708" w14:textId="77777777" w:rsidR="001D6800" w:rsidRPr="00053279" w:rsidRDefault="001D6800" w:rsidP="001D6800">
            <w:pPr>
              <w:jc w:val="center"/>
              <w:rPr>
                <w:sz w:val="20"/>
                <w:szCs w:val="20"/>
              </w:rPr>
            </w:pPr>
            <w:r w:rsidRPr="00053279">
              <w:rPr>
                <w:sz w:val="20"/>
                <w:szCs w:val="20"/>
              </w:rPr>
              <w:t>13:1E 99.61-81</w:t>
            </w:r>
          </w:p>
        </w:tc>
        <w:tc>
          <w:tcPr>
            <w:tcW w:w="6226" w:type="dxa"/>
            <w:tcMar>
              <w:top w:w="29" w:type="dxa"/>
              <w:left w:w="115" w:type="dxa"/>
              <w:bottom w:w="29" w:type="dxa"/>
              <w:right w:w="115" w:type="dxa"/>
            </w:tcMar>
          </w:tcPr>
          <w:p w14:paraId="759C6D1A" w14:textId="77777777" w:rsidR="001D6800" w:rsidRPr="00053279" w:rsidRDefault="001D6800" w:rsidP="00201B56">
            <w:pPr>
              <w:rPr>
                <w:sz w:val="20"/>
                <w:szCs w:val="20"/>
              </w:rPr>
            </w:pPr>
            <w:r w:rsidRPr="00053279">
              <w:rPr>
                <w:sz w:val="20"/>
                <w:szCs w:val="20"/>
              </w:rPr>
              <w:t>Batteries</w:t>
            </w:r>
          </w:p>
        </w:tc>
      </w:tr>
      <w:tr w:rsidR="001D6800" w14:paraId="6E1E53F6" w14:textId="77777777" w:rsidTr="00053279">
        <w:tc>
          <w:tcPr>
            <w:tcW w:w="1261" w:type="dxa"/>
            <w:tcMar>
              <w:top w:w="29" w:type="dxa"/>
              <w:left w:w="115" w:type="dxa"/>
              <w:bottom w:w="29" w:type="dxa"/>
              <w:right w:w="115" w:type="dxa"/>
            </w:tcMar>
            <w:vAlign w:val="center"/>
          </w:tcPr>
          <w:p w14:paraId="1988D85E" w14:textId="7C091F2C" w:rsidR="001D6800" w:rsidRPr="00053279" w:rsidRDefault="009F3164" w:rsidP="001D6800">
            <w:pPr>
              <w:jc w:val="center"/>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278" w:type="dxa"/>
            <w:tcMar>
              <w:top w:w="29" w:type="dxa"/>
              <w:left w:w="115" w:type="dxa"/>
              <w:bottom w:w="29" w:type="dxa"/>
              <w:right w:w="115" w:type="dxa"/>
            </w:tcMar>
            <w:vAlign w:val="center"/>
          </w:tcPr>
          <w:p w14:paraId="31E14D8A" w14:textId="77777777" w:rsidR="001D6800" w:rsidRPr="00053279" w:rsidRDefault="001D6800" w:rsidP="001D6800">
            <w:pPr>
              <w:jc w:val="center"/>
              <w:rPr>
                <w:sz w:val="20"/>
                <w:szCs w:val="20"/>
              </w:rPr>
            </w:pPr>
            <w:r w:rsidRPr="00053279">
              <w:rPr>
                <w:sz w:val="20"/>
                <w:szCs w:val="20"/>
              </w:rPr>
              <w:t>USA-OR</w:t>
            </w:r>
          </w:p>
        </w:tc>
        <w:tc>
          <w:tcPr>
            <w:tcW w:w="2251" w:type="dxa"/>
            <w:tcMar>
              <w:top w:w="29" w:type="dxa"/>
              <w:left w:w="115" w:type="dxa"/>
              <w:bottom w:w="29" w:type="dxa"/>
              <w:right w:w="115" w:type="dxa"/>
            </w:tcMar>
            <w:vAlign w:val="center"/>
          </w:tcPr>
          <w:p w14:paraId="2B68743C" w14:textId="77777777" w:rsidR="001D6800" w:rsidRPr="00053279" w:rsidRDefault="001D6800" w:rsidP="001D6800">
            <w:pPr>
              <w:jc w:val="center"/>
              <w:rPr>
                <w:sz w:val="20"/>
                <w:szCs w:val="20"/>
              </w:rPr>
            </w:pPr>
            <w:r w:rsidRPr="00053279">
              <w:rPr>
                <w:sz w:val="20"/>
                <w:szCs w:val="20"/>
              </w:rPr>
              <w:t>459.420</w:t>
            </w:r>
          </w:p>
        </w:tc>
        <w:tc>
          <w:tcPr>
            <w:tcW w:w="6226" w:type="dxa"/>
            <w:tcMar>
              <w:top w:w="29" w:type="dxa"/>
              <w:left w:w="115" w:type="dxa"/>
              <w:bottom w:w="29" w:type="dxa"/>
              <w:right w:w="115" w:type="dxa"/>
            </w:tcMar>
          </w:tcPr>
          <w:p w14:paraId="613FF81D" w14:textId="77777777" w:rsidR="001D6800" w:rsidRPr="00053279" w:rsidRDefault="001D6800" w:rsidP="00201B56">
            <w:pPr>
              <w:rPr>
                <w:sz w:val="20"/>
                <w:szCs w:val="20"/>
              </w:rPr>
            </w:pPr>
            <w:r w:rsidRPr="00053279">
              <w:rPr>
                <w:sz w:val="20"/>
                <w:szCs w:val="20"/>
              </w:rPr>
              <w:t>Batteries</w:t>
            </w:r>
          </w:p>
        </w:tc>
      </w:tr>
    </w:tbl>
    <w:p w14:paraId="1C8805FF" w14:textId="77777777" w:rsidR="00DC4BF3" w:rsidRDefault="00DC4BF3" w:rsidP="007D4A9B">
      <w:pPr>
        <w:spacing w:after="0" w:line="240" w:lineRule="auto"/>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10"/>
        <w:gridCol w:w="2700"/>
        <w:gridCol w:w="360"/>
        <w:gridCol w:w="360"/>
        <w:gridCol w:w="3330"/>
      </w:tblGrid>
      <w:tr w:rsidR="00EF7B99" w14:paraId="6402E340" w14:textId="77777777" w:rsidTr="00835C5C">
        <w:trPr>
          <w:trHeight w:val="720"/>
        </w:trPr>
        <w:tc>
          <w:tcPr>
            <w:tcW w:w="1278" w:type="dxa"/>
            <w:tcBorders>
              <w:top w:val="nil"/>
              <w:left w:val="nil"/>
              <w:bottom w:val="nil"/>
              <w:right w:val="nil"/>
            </w:tcBorders>
          </w:tcPr>
          <w:p w14:paraId="295AC468" w14:textId="77777777" w:rsidR="00EF7B99" w:rsidRDefault="00EF7B99" w:rsidP="00835C5C"/>
        </w:tc>
        <w:tc>
          <w:tcPr>
            <w:tcW w:w="4770" w:type="dxa"/>
            <w:gridSpan w:val="3"/>
            <w:tcBorders>
              <w:top w:val="nil"/>
              <w:left w:val="nil"/>
              <w:right w:val="nil"/>
            </w:tcBorders>
            <w:vAlign w:val="bottom"/>
          </w:tcPr>
          <w:p w14:paraId="1A2D892C" w14:textId="04FDCD7B" w:rsidR="00EF7B99" w:rsidRDefault="00EF7B99" w:rsidP="00835C5C">
            <w:pPr>
              <w:jc w:val="center"/>
            </w:pPr>
          </w:p>
          <w:p w14:paraId="5FF42A15" w14:textId="77777777" w:rsidR="00EF7B99" w:rsidRPr="00DC4BF3" w:rsidRDefault="00EF7B99" w:rsidP="00835C5C">
            <w:pPr>
              <w:jc w:val="center"/>
              <w:rPr>
                <w:sz w:val="4"/>
                <w:szCs w:val="4"/>
              </w:rPr>
            </w:pPr>
          </w:p>
        </w:tc>
        <w:tc>
          <w:tcPr>
            <w:tcW w:w="360" w:type="dxa"/>
            <w:tcBorders>
              <w:top w:val="nil"/>
              <w:left w:val="nil"/>
              <w:bottom w:val="nil"/>
              <w:right w:val="nil"/>
            </w:tcBorders>
          </w:tcPr>
          <w:p w14:paraId="34FF6450" w14:textId="77777777" w:rsidR="00EF7B99" w:rsidRDefault="00EF7B99" w:rsidP="00835C5C">
            <w:pPr>
              <w:jc w:val="center"/>
              <w:rPr>
                <w:noProof/>
              </w:rPr>
            </w:pPr>
          </w:p>
        </w:tc>
        <w:tc>
          <w:tcPr>
            <w:tcW w:w="3330" w:type="dxa"/>
            <w:tcBorders>
              <w:top w:val="nil"/>
              <w:left w:val="nil"/>
              <w:right w:val="nil"/>
            </w:tcBorders>
            <w:vAlign w:val="bottom"/>
          </w:tcPr>
          <w:p w14:paraId="44B80E21" w14:textId="17C089C7" w:rsidR="00EF7B99" w:rsidRDefault="00EF7B99" w:rsidP="00CD53D4">
            <w:pPr>
              <w:jc w:val="center"/>
              <w:rPr>
                <w:noProof/>
              </w:rPr>
            </w:pPr>
          </w:p>
        </w:tc>
      </w:tr>
      <w:tr w:rsidR="00EF7B99" w14:paraId="2D4598F6" w14:textId="77777777" w:rsidTr="00835C5C">
        <w:tc>
          <w:tcPr>
            <w:tcW w:w="1278" w:type="dxa"/>
            <w:tcBorders>
              <w:top w:val="nil"/>
              <w:left w:val="nil"/>
              <w:bottom w:val="nil"/>
              <w:right w:val="nil"/>
            </w:tcBorders>
          </w:tcPr>
          <w:p w14:paraId="5DD4F13B" w14:textId="77777777" w:rsidR="00EF7B99" w:rsidRDefault="00EF7B99" w:rsidP="00835C5C">
            <w:pPr>
              <w:spacing w:before="60" w:after="60"/>
            </w:pPr>
          </w:p>
        </w:tc>
        <w:tc>
          <w:tcPr>
            <w:tcW w:w="1710" w:type="dxa"/>
            <w:tcBorders>
              <w:left w:val="nil"/>
              <w:bottom w:val="nil"/>
              <w:right w:val="nil"/>
            </w:tcBorders>
          </w:tcPr>
          <w:p w14:paraId="4D373C40" w14:textId="7FFC6F61" w:rsidR="00EF7B99" w:rsidRPr="00A969D7" w:rsidRDefault="009F3164" w:rsidP="00835C5C">
            <w:pPr>
              <w:spacing w:before="60" w:after="60"/>
              <w:jc w:val="right"/>
              <w:rPr>
                <w:b/>
              </w:rPr>
            </w:pPr>
            <w:r>
              <w:rPr>
                <w:b/>
              </w:rPr>
              <w:t xml:space="preserve">Printed </w:t>
            </w:r>
            <w:r w:rsidR="00EF7B99" w:rsidRPr="00A969D7">
              <w:rPr>
                <w:b/>
              </w:rPr>
              <w:t xml:space="preserve">Name: </w:t>
            </w:r>
          </w:p>
        </w:tc>
        <w:tc>
          <w:tcPr>
            <w:tcW w:w="2700" w:type="dxa"/>
            <w:tcBorders>
              <w:left w:val="nil"/>
              <w:bottom w:val="nil"/>
              <w:right w:val="nil"/>
            </w:tcBorders>
          </w:tcPr>
          <w:p w14:paraId="5B0F3898" w14:textId="50726392" w:rsidR="00EF7B99" w:rsidRDefault="00EF7B99" w:rsidP="00835C5C">
            <w:pPr>
              <w:spacing w:before="60" w:after="60"/>
            </w:pPr>
          </w:p>
        </w:tc>
        <w:tc>
          <w:tcPr>
            <w:tcW w:w="720" w:type="dxa"/>
            <w:gridSpan w:val="2"/>
            <w:tcBorders>
              <w:top w:val="nil"/>
              <w:left w:val="nil"/>
              <w:bottom w:val="nil"/>
              <w:right w:val="nil"/>
            </w:tcBorders>
          </w:tcPr>
          <w:p w14:paraId="71FAF4C9" w14:textId="77777777" w:rsidR="00EF7B99" w:rsidRDefault="00EF7B99" w:rsidP="00835C5C">
            <w:pPr>
              <w:spacing w:before="60" w:after="60"/>
            </w:pPr>
          </w:p>
        </w:tc>
        <w:tc>
          <w:tcPr>
            <w:tcW w:w="3330" w:type="dxa"/>
            <w:tcBorders>
              <w:left w:val="nil"/>
              <w:bottom w:val="nil"/>
              <w:right w:val="nil"/>
            </w:tcBorders>
          </w:tcPr>
          <w:p w14:paraId="438DAD7E" w14:textId="77777777" w:rsidR="00EF7B99" w:rsidRDefault="00EF7B99" w:rsidP="00835C5C">
            <w:pPr>
              <w:spacing w:before="60" w:after="60"/>
              <w:jc w:val="center"/>
            </w:pPr>
            <w:r>
              <w:t>Date</w:t>
            </w:r>
          </w:p>
        </w:tc>
      </w:tr>
      <w:tr w:rsidR="00EF7B99" w14:paraId="54A2A489" w14:textId="77777777" w:rsidTr="00835C5C">
        <w:tc>
          <w:tcPr>
            <w:tcW w:w="1278" w:type="dxa"/>
            <w:tcBorders>
              <w:top w:val="nil"/>
              <w:left w:val="nil"/>
              <w:bottom w:val="nil"/>
              <w:right w:val="nil"/>
            </w:tcBorders>
          </w:tcPr>
          <w:p w14:paraId="6209D534" w14:textId="77777777" w:rsidR="00EF7B99" w:rsidRDefault="00EF7B99" w:rsidP="00835C5C">
            <w:pPr>
              <w:spacing w:before="60" w:after="60"/>
            </w:pPr>
          </w:p>
        </w:tc>
        <w:tc>
          <w:tcPr>
            <w:tcW w:w="1710" w:type="dxa"/>
            <w:tcBorders>
              <w:top w:val="nil"/>
              <w:left w:val="nil"/>
              <w:bottom w:val="nil"/>
              <w:right w:val="nil"/>
            </w:tcBorders>
          </w:tcPr>
          <w:p w14:paraId="2E4522CE" w14:textId="77777777" w:rsidR="00EF7B99" w:rsidRPr="00A969D7" w:rsidRDefault="00EF7B99" w:rsidP="00835C5C">
            <w:pPr>
              <w:spacing w:before="60" w:after="60"/>
              <w:jc w:val="right"/>
              <w:rPr>
                <w:b/>
              </w:rPr>
            </w:pPr>
            <w:r w:rsidRPr="00A969D7">
              <w:rPr>
                <w:b/>
              </w:rPr>
              <w:t xml:space="preserve">Title: </w:t>
            </w:r>
          </w:p>
        </w:tc>
        <w:tc>
          <w:tcPr>
            <w:tcW w:w="2700" w:type="dxa"/>
            <w:tcBorders>
              <w:top w:val="nil"/>
              <w:left w:val="nil"/>
              <w:bottom w:val="nil"/>
              <w:right w:val="nil"/>
            </w:tcBorders>
          </w:tcPr>
          <w:p w14:paraId="2D54F66E" w14:textId="4F62AE6E" w:rsidR="00EF7B99" w:rsidRDefault="00EF7B99" w:rsidP="00835C5C">
            <w:pPr>
              <w:spacing w:before="60" w:after="60"/>
            </w:pPr>
          </w:p>
        </w:tc>
        <w:tc>
          <w:tcPr>
            <w:tcW w:w="720" w:type="dxa"/>
            <w:gridSpan w:val="2"/>
            <w:tcBorders>
              <w:top w:val="nil"/>
              <w:left w:val="nil"/>
              <w:bottom w:val="nil"/>
              <w:right w:val="nil"/>
            </w:tcBorders>
          </w:tcPr>
          <w:p w14:paraId="2F7E9947" w14:textId="77777777" w:rsidR="00EF7B99" w:rsidRDefault="00EF7B99" w:rsidP="00835C5C">
            <w:pPr>
              <w:spacing w:before="60" w:after="60"/>
            </w:pPr>
          </w:p>
        </w:tc>
        <w:tc>
          <w:tcPr>
            <w:tcW w:w="3330" w:type="dxa"/>
            <w:tcBorders>
              <w:top w:val="nil"/>
              <w:left w:val="nil"/>
              <w:bottom w:val="nil"/>
              <w:right w:val="nil"/>
            </w:tcBorders>
          </w:tcPr>
          <w:p w14:paraId="26CAFEED" w14:textId="77777777" w:rsidR="00EF7B99" w:rsidRDefault="00EF7B99" w:rsidP="00835C5C">
            <w:pPr>
              <w:spacing w:before="60" w:after="60"/>
            </w:pPr>
          </w:p>
        </w:tc>
      </w:tr>
    </w:tbl>
    <w:p w14:paraId="36EA7B56" w14:textId="3478B0C5" w:rsidR="00EF7B99" w:rsidRPr="00E40FB2" w:rsidRDefault="00EF7B99" w:rsidP="005E16B9">
      <w:pPr>
        <w:tabs>
          <w:tab w:val="left" w:pos="8640"/>
        </w:tabs>
        <w:spacing w:after="80"/>
        <w:rPr>
          <w:sz w:val="16"/>
          <w:szCs w:val="16"/>
        </w:rPr>
      </w:pPr>
    </w:p>
    <w:sectPr w:rsidR="00EF7B99" w:rsidRPr="00E40FB2" w:rsidSect="00053279">
      <w:headerReference w:type="default" r:id="rId7"/>
      <w:footerReference w:type="default" r:id="rId8"/>
      <w:pgSz w:w="12240" w:h="15840" w:code="1"/>
      <w:pgMar w:top="720" w:right="720" w:bottom="1440" w:left="72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42F4A" w14:textId="77777777" w:rsidR="00FE2450" w:rsidRDefault="00FE2450" w:rsidP="00CA2EE3">
      <w:pPr>
        <w:spacing w:after="0" w:line="240" w:lineRule="auto"/>
      </w:pPr>
      <w:r>
        <w:separator/>
      </w:r>
    </w:p>
  </w:endnote>
  <w:endnote w:type="continuationSeparator" w:id="0">
    <w:p w14:paraId="4BED1A10" w14:textId="77777777" w:rsidR="00FE2450" w:rsidRDefault="00FE2450" w:rsidP="00CA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0AEB8" w14:textId="77777777" w:rsidR="005E16B9" w:rsidRPr="00053279" w:rsidRDefault="005E16B9" w:rsidP="005E16B9">
    <w:pPr>
      <w:jc w:val="right"/>
      <w:rPr>
        <w:sz w:val="16"/>
        <w:szCs w:val="16"/>
      </w:rPr>
    </w:pPr>
    <w:r w:rsidRPr="00053279">
      <w:rPr>
        <w:sz w:val="16"/>
        <w:szCs w:val="16"/>
      </w:rPr>
      <w:t>Template 496-0104-00 Rev 0</w:t>
    </w:r>
    <w:r>
      <w:rPr>
        <w:sz w:val="16"/>
        <w:szCs w:val="16"/>
      </w:rPr>
      <w:t>B</w:t>
    </w:r>
  </w:p>
  <w:p w14:paraId="353541A2" w14:textId="16DBA606" w:rsidR="00645BA3" w:rsidRDefault="00645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63CFA6" w14:textId="77777777" w:rsidR="00FE2450" w:rsidRDefault="00FE2450" w:rsidP="00CA2EE3">
      <w:pPr>
        <w:spacing w:after="0" w:line="240" w:lineRule="auto"/>
      </w:pPr>
      <w:r>
        <w:separator/>
      </w:r>
    </w:p>
  </w:footnote>
  <w:footnote w:type="continuationSeparator" w:id="0">
    <w:p w14:paraId="601FCD52" w14:textId="77777777" w:rsidR="00FE2450" w:rsidRDefault="00FE2450" w:rsidP="00CA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D5793" w14:textId="77777777" w:rsidR="00645BA3" w:rsidRDefault="00645BA3">
    <w:pPr>
      <w:pStyle w:val="Header"/>
    </w:pPr>
  </w:p>
  <w:p w14:paraId="20C5A11C" w14:textId="77777777" w:rsidR="00645BA3" w:rsidRDefault="00645B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9B"/>
    <w:rsid w:val="000004D9"/>
    <w:rsid w:val="00053279"/>
    <w:rsid w:val="00060FDB"/>
    <w:rsid w:val="000D66EE"/>
    <w:rsid w:val="001143E5"/>
    <w:rsid w:val="001C5B98"/>
    <w:rsid w:val="001D6800"/>
    <w:rsid w:val="00201B56"/>
    <w:rsid w:val="00216C7F"/>
    <w:rsid w:val="0024214B"/>
    <w:rsid w:val="00242224"/>
    <w:rsid w:val="00284C94"/>
    <w:rsid w:val="002B157F"/>
    <w:rsid w:val="003103D1"/>
    <w:rsid w:val="003767BC"/>
    <w:rsid w:val="003A1E96"/>
    <w:rsid w:val="003C57BB"/>
    <w:rsid w:val="003F6AD3"/>
    <w:rsid w:val="004845E2"/>
    <w:rsid w:val="00491B6E"/>
    <w:rsid w:val="004E211E"/>
    <w:rsid w:val="004F31D8"/>
    <w:rsid w:val="004F643D"/>
    <w:rsid w:val="005020C1"/>
    <w:rsid w:val="005145C6"/>
    <w:rsid w:val="00537667"/>
    <w:rsid w:val="00560404"/>
    <w:rsid w:val="00567869"/>
    <w:rsid w:val="00597E65"/>
    <w:rsid w:val="005A6D3A"/>
    <w:rsid w:val="005E16B9"/>
    <w:rsid w:val="00645BA3"/>
    <w:rsid w:val="006704E0"/>
    <w:rsid w:val="006A4874"/>
    <w:rsid w:val="006B78A9"/>
    <w:rsid w:val="007515B7"/>
    <w:rsid w:val="007A3E66"/>
    <w:rsid w:val="007B3EDA"/>
    <w:rsid w:val="007B6851"/>
    <w:rsid w:val="007D4A9B"/>
    <w:rsid w:val="00824256"/>
    <w:rsid w:val="008255E8"/>
    <w:rsid w:val="008B6722"/>
    <w:rsid w:val="008F4FD2"/>
    <w:rsid w:val="009018B1"/>
    <w:rsid w:val="009260D6"/>
    <w:rsid w:val="009E1DDB"/>
    <w:rsid w:val="009F3164"/>
    <w:rsid w:val="00A050E9"/>
    <w:rsid w:val="00A16581"/>
    <w:rsid w:val="00A431CE"/>
    <w:rsid w:val="00A8748C"/>
    <w:rsid w:val="00A92217"/>
    <w:rsid w:val="00BB3E0C"/>
    <w:rsid w:val="00BB67D8"/>
    <w:rsid w:val="00BD3182"/>
    <w:rsid w:val="00C3224B"/>
    <w:rsid w:val="00CA2EE3"/>
    <w:rsid w:val="00CC1021"/>
    <w:rsid w:val="00CD53D4"/>
    <w:rsid w:val="00D7536F"/>
    <w:rsid w:val="00DA04D5"/>
    <w:rsid w:val="00DA1A20"/>
    <w:rsid w:val="00DC4BF3"/>
    <w:rsid w:val="00E40FB2"/>
    <w:rsid w:val="00E61323"/>
    <w:rsid w:val="00E62463"/>
    <w:rsid w:val="00E94B4A"/>
    <w:rsid w:val="00EF7B99"/>
    <w:rsid w:val="00F03289"/>
    <w:rsid w:val="00F52B42"/>
    <w:rsid w:val="00F56FF4"/>
    <w:rsid w:val="00F8392B"/>
    <w:rsid w:val="00FE24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BCCADE1"/>
  <w15:docId w15:val="{F4BF85EC-4E93-4E0F-B623-F0DF04E3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A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EE3"/>
  </w:style>
  <w:style w:type="paragraph" w:styleId="Footer">
    <w:name w:val="footer"/>
    <w:basedOn w:val="Normal"/>
    <w:link w:val="FooterChar"/>
    <w:uiPriority w:val="99"/>
    <w:unhideWhenUsed/>
    <w:rsid w:val="00CA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EE3"/>
  </w:style>
  <w:style w:type="paragraph" w:styleId="BalloonText">
    <w:name w:val="Balloon Text"/>
    <w:basedOn w:val="Normal"/>
    <w:link w:val="BalloonTextChar"/>
    <w:uiPriority w:val="99"/>
    <w:semiHidden/>
    <w:unhideWhenUsed/>
    <w:rsid w:val="00CA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EE3"/>
    <w:rPr>
      <w:rFonts w:ascii="Tahoma" w:hAnsi="Tahoma" w:cs="Tahoma"/>
      <w:sz w:val="16"/>
      <w:szCs w:val="16"/>
    </w:rPr>
  </w:style>
  <w:style w:type="character" w:styleId="PlaceholderText">
    <w:name w:val="Placeholder Text"/>
    <w:basedOn w:val="DefaultParagraphFont"/>
    <w:uiPriority w:val="99"/>
    <w:semiHidden/>
    <w:rsid w:val="008255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1C3F-0B83-470D-9DBE-06987C8D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NEI</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cantwellm</dc:creator>
  <cp:lastModifiedBy>Pat Hollinshead</cp:lastModifiedBy>
  <cp:revision>4</cp:revision>
  <dcterms:created xsi:type="dcterms:W3CDTF">2020-09-08T20:31:00Z</dcterms:created>
  <dcterms:modified xsi:type="dcterms:W3CDTF">2020-09-08T20:44:00Z</dcterms:modified>
</cp:coreProperties>
</file>